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pacing w:line="572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2026年省级现代农业发展补助专项</w:t>
      </w:r>
    </w:p>
    <w:p>
      <w:pPr>
        <w:spacing w:line="572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农产品</w:t>
      </w: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</w:rPr>
        <w:t>加工能力提升政策项目储备要求</w:t>
      </w:r>
    </w:p>
    <w:p>
      <w:pPr>
        <w:spacing w:line="572" w:lineRule="exact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一、支持对象</w:t>
      </w:r>
      <w:bookmarkStart w:id="0" w:name="_GoBack"/>
      <w:bookmarkEnd w:id="0"/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县级及以上农业龙头企业，且在省内有自建或稳定的合作共建生产基地，与省内农户建立订单农业、服务或技术带动、保底收购、二次返利等紧密的利益联结机制。已承担2023、 2024年度省级现代农业发展专项农业全产业链项目（2024年农产品加工项目）或生猪产业集群2024年度项目但尚未通过验收的主体，不得参与2026年农产品加工提升项目储备入库。</w:t>
      </w:r>
    </w:p>
    <w:p>
      <w:pPr>
        <w:spacing w:line="572" w:lineRule="exact"/>
        <w:ind w:firstLine="640" w:firstLineChars="200"/>
        <w:rPr>
          <w:rFonts w:ascii="Times New Roman" w:hAnsi="黑体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二、支持内容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支持农产品加工能力提升和转型升级，加快生物、数字、信息等技术在农产品加工的集成应用。重点支持引领型、带动型农业龙头企业在以新质生产力为引领的保健食品、休闲食品、冻干食品、海洋食品、宠物产业以及功能物提取、副产物利用等新兴产业领域发展高附加值、深层次、全方位利用的精深加工和产品、技术创新研发。具体支持农产品加工设备和技术、产品研发设备的购置、升级以及“智改数转网联”。</w:t>
      </w:r>
    </w:p>
    <w:p>
      <w:pPr>
        <w:spacing w:line="572" w:lineRule="exact"/>
        <w:ind w:firstLine="640" w:firstLineChars="200"/>
        <w:rPr>
          <w:rFonts w:ascii="Times New Roman" w:hAnsi="黑体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三、补助标准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单个项目总投资不低于200万元、省级财政资金补助不超过总投资30%、各级财政累计补助比例不超过总投资50%。单个项目省级财政补助资金最高不超400万元。</w:t>
      </w:r>
    </w:p>
    <w:p>
      <w:pPr>
        <w:spacing w:line="572" w:lineRule="exact"/>
        <w:ind w:firstLine="640" w:firstLineChars="200"/>
        <w:rPr>
          <w:rFonts w:ascii="Times New Roman" w:hAnsi="黑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四、</w:t>
      </w:r>
      <w:r>
        <w:rPr>
          <w:rFonts w:ascii="Times New Roman" w:hAnsi="黑体" w:eastAsia="黑体" w:cs="Times New Roman"/>
          <w:sz w:val="32"/>
          <w:szCs w:val="32"/>
          <w:highlight w:val="none"/>
        </w:rPr>
        <w:t>储备要求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(一)各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县区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要做好项目储备政策信息公开，充分摸排符合条件的投资需求，并做好项目主体资质和建设内容审核把关，提高入库项目质量。2026年度项目实施期原则上为2026年起至2027年上半年，请在项目储备时充分考虑项目实施期限，包括按时取得项目建设所需各类资质并及时开工，以及按期完成项目建设、验收和资金拨付的时限要求等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(二)项目遴选储备要符合当地产业发展规划，鼓励各地围绕“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+N”农业全产业链发展体系，针对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优质粮食、绿色蔬菜、食用菌菇、特色林果、规模畜禽、海淡水产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重点产业链和各地重点建设的县域产业链，遴选储备符合条件的农产品加工项目，进一步推进各类农业全产业链发展。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(三)省级财政资金不得用于楼堂馆所、市政道路、农村公路、厂房车间等各类基建支出，不得用于第三方项目咨询服务费用、人员工资等及其他一般性支出，不得用于一次性物料或耗材支出、不得用于弥补预算支出缺口等。项目同一建设内容不得与其他省级及以上财政资金重复支持。财政资金支持内容与配套资金建设内容应紧密关联、有机统一，不得为满足配套要求，在项目方案中增加无关内容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(四)项目储备时，上传项目内容简介，并附龙头企业认定文件及其他所需佐证材料。立项时，各地应参照所遴选的项目简介内容，制定完整的项目实施方案，并经地方审核批复后实施。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6043"/>
    <w:rsid w:val="00243F29"/>
    <w:rsid w:val="00AE21A0"/>
    <w:rsid w:val="00CE4C0D"/>
    <w:rsid w:val="00EC08D7"/>
    <w:rsid w:val="00EE6D31"/>
    <w:rsid w:val="00EF6304"/>
    <w:rsid w:val="5EB66043"/>
    <w:rsid w:val="77AF8A03"/>
    <w:rsid w:val="FFE7F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893</Characters>
  <Lines>7</Lines>
  <Paragraphs>2</Paragraphs>
  <TotalTime>25</TotalTime>
  <ScaleCrop>false</ScaleCrop>
  <LinksUpToDate>false</LinksUpToDate>
  <CharactersWithSpaces>1047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2025-11-11T01:27:00Z</dcterms:created>
  <dc:creator>huawei</dc:creator>
  <cp:lastModifiedBy>huawei</cp:lastModifiedBy>
  <dcterms:modified xsi:type="dcterms:W3CDTF">2025-11-11T09:14:30Z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