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黑体" w:eastAsia="方正小标宋_GBK"/>
          <w:color w:val="auto"/>
          <w:sz w:val="44"/>
          <w:szCs w:val="44"/>
        </w:rPr>
      </w:pPr>
    </w:p>
    <w:p>
      <w:pPr>
        <w:pStyle w:val="16"/>
        <w:rPr>
          <w:rFonts w:ascii="方正小标宋_GBK" w:hAnsi="黑体" w:eastAsia="方正小标宋_GBK"/>
          <w:color w:val="auto"/>
          <w:sz w:val="44"/>
          <w:szCs w:val="44"/>
        </w:rPr>
      </w:pPr>
    </w:p>
    <w:p>
      <w:pPr>
        <w:pStyle w:val="16"/>
        <w:rPr>
          <w:rFonts w:ascii="方正小标宋_GBK" w:hAnsi="黑体" w:eastAsia="方正小标宋_GBK"/>
          <w:color w:val="auto"/>
          <w:sz w:val="44"/>
          <w:szCs w:val="44"/>
        </w:rPr>
      </w:pPr>
    </w:p>
    <w:p>
      <w:pPr>
        <w:spacing w:line="660" w:lineRule="exact"/>
        <w:jc w:val="center"/>
        <w:rPr>
          <w:rFonts w:hint="eastAsia" w:ascii="方正小标宋_GBK" w:hAnsi="方正小标宋_GBK" w:eastAsia="方正小标宋_GBK" w:cs="方正小标宋_GBK"/>
          <w:b w:val="0"/>
          <w:bCs/>
          <w:color w:val="auto"/>
          <w:sz w:val="52"/>
          <w:szCs w:val="52"/>
        </w:rPr>
      </w:pPr>
      <w:r>
        <w:rPr>
          <w:rFonts w:hint="eastAsia" w:ascii="方正小标宋_GBK" w:hAnsi="方正小标宋_GBK" w:eastAsia="方正小标宋_GBK" w:cs="方正小标宋_GBK"/>
          <w:b w:val="0"/>
          <w:bCs/>
          <w:color w:val="auto"/>
          <w:sz w:val="52"/>
          <w:szCs w:val="52"/>
          <w:lang w:eastAsia="zh-CN"/>
        </w:rPr>
        <w:t>连</w:t>
      </w:r>
      <w:r>
        <w:rPr>
          <w:rFonts w:hint="eastAsia" w:ascii="方正小标宋_GBK" w:hAnsi="方正小标宋_GBK" w:eastAsia="方正小标宋_GBK" w:cs="方正小标宋_GBK"/>
          <w:b w:val="0"/>
          <w:bCs/>
          <w:color w:val="auto"/>
          <w:sz w:val="52"/>
          <w:szCs w:val="52"/>
        </w:rPr>
        <w:t>云</w:t>
      </w:r>
      <w:r>
        <w:rPr>
          <w:rFonts w:hint="eastAsia" w:ascii="方正小标宋_GBK" w:hAnsi="方正小标宋_GBK" w:eastAsia="方正小标宋_GBK" w:cs="方正小标宋_GBK"/>
          <w:b w:val="0"/>
          <w:bCs/>
          <w:color w:val="auto"/>
          <w:sz w:val="52"/>
          <w:szCs w:val="52"/>
          <w:lang w:eastAsia="zh-CN"/>
        </w:rPr>
        <w:t>区</w:t>
      </w:r>
      <w:r>
        <w:rPr>
          <w:rFonts w:hint="eastAsia" w:ascii="方正小标宋_GBK" w:hAnsi="方正小标宋_GBK" w:eastAsia="方正小标宋_GBK" w:cs="方正小标宋_GBK"/>
          <w:b w:val="0"/>
          <w:bCs/>
          <w:color w:val="auto"/>
          <w:sz w:val="52"/>
          <w:szCs w:val="52"/>
        </w:rPr>
        <w:t>“十四五”安全生产</w:t>
      </w:r>
      <w:r>
        <w:rPr>
          <w:rFonts w:hint="eastAsia" w:ascii="方正小标宋_GBK" w:hAnsi="方正小标宋_GBK" w:eastAsia="方正小标宋_GBK" w:cs="方正小标宋_GBK"/>
          <w:b w:val="0"/>
          <w:bCs/>
          <w:color w:val="auto"/>
          <w:sz w:val="52"/>
          <w:szCs w:val="52"/>
          <w:lang w:eastAsia="zh-CN"/>
        </w:rPr>
        <w:t>和应急管理体系建设</w:t>
      </w:r>
      <w:r>
        <w:rPr>
          <w:rFonts w:hint="eastAsia" w:ascii="方正小标宋_GBK" w:hAnsi="方正小标宋_GBK" w:eastAsia="方正小标宋_GBK" w:cs="方正小标宋_GBK"/>
          <w:b w:val="0"/>
          <w:bCs/>
          <w:color w:val="auto"/>
          <w:sz w:val="52"/>
          <w:szCs w:val="52"/>
        </w:rPr>
        <w:t>规划</w:t>
      </w:r>
    </w:p>
    <w:p>
      <w:pPr>
        <w:ind w:left="0" w:leftChars="0" w:firstLine="0" w:firstLineChars="0"/>
        <w:jc w:val="center"/>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Cs w:val="0"/>
          <w:color w:val="auto"/>
          <w:kern w:val="2"/>
          <w:sz w:val="32"/>
          <w:szCs w:val="32"/>
          <w:highlight w:val="none"/>
          <w:lang w:val="en-US" w:eastAsia="zh-CN" w:bidi="ar-SA"/>
        </w:rPr>
        <w:t>（202</w:t>
      </w:r>
      <w:r>
        <w:rPr>
          <w:rFonts w:hint="eastAsia" w:ascii="Times New Roman" w:hAnsi="Times New Roman" w:eastAsia="楷体_GB2312" w:cs="Times New Roman"/>
          <w:bCs w:val="0"/>
          <w:color w:val="auto"/>
          <w:kern w:val="2"/>
          <w:sz w:val="32"/>
          <w:szCs w:val="32"/>
          <w:highlight w:val="none"/>
          <w:lang w:val="en-US" w:eastAsia="zh-CN" w:bidi="ar-SA"/>
        </w:rPr>
        <w:t>1</w:t>
      </w:r>
      <w:r>
        <w:rPr>
          <w:rFonts w:hint="default" w:ascii="Times New Roman" w:hAnsi="Times New Roman" w:eastAsia="楷体_GB2312" w:cs="Times New Roman"/>
          <w:bCs w:val="0"/>
          <w:color w:val="auto"/>
          <w:kern w:val="2"/>
          <w:sz w:val="32"/>
          <w:szCs w:val="32"/>
          <w:highlight w:val="none"/>
          <w:lang w:val="en-US" w:eastAsia="zh-CN" w:bidi="ar-SA"/>
        </w:rPr>
        <w:t>-2025）</w:t>
      </w:r>
    </w:p>
    <w:p>
      <w:pPr>
        <w:spacing w:line="660" w:lineRule="exact"/>
        <w:jc w:val="center"/>
        <w:rPr>
          <w:rFonts w:ascii="楷体_GB2312" w:hAnsi="黑体" w:eastAsia="楷体_GB2312"/>
          <w:color w:val="auto"/>
          <w:sz w:val="32"/>
          <w:szCs w:val="32"/>
        </w:rPr>
      </w:pPr>
    </w:p>
    <w:p>
      <w:pPr>
        <w:spacing w:line="660" w:lineRule="exact"/>
        <w:jc w:val="center"/>
        <w:rPr>
          <w:rFonts w:ascii="楷体_GB2312" w:hAnsi="黑体" w:eastAsia="楷体_GB2312"/>
          <w:color w:val="auto"/>
          <w:sz w:val="32"/>
          <w:szCs w:val="32"/>
        </w:rPr>
      </w:pPr>
    </w:p>
    <w:p>
      <w:pPr>
        <w:spacing w:line="660" w:lineRule="exact"/>
        <w:jc w:val="center"/>
        <w:rPr>
          <w:rFonts w:ascii="楷体_GB2312" w:hAnsi="黑体" w:eastAsia="楷体_GB2312"/>
          <w:color w:val="auto"/>
          <w:sz w:val="32"/>
          <w:szCs w:val="32"/>
        </w:rPr>
      </w:pPr>
    </w:p>
    <w:p>
      <w:pPr>
        <w:spacing w:line="660" w:lineRule="exact"/>
        <w:jc w:val="center"/>
        <w:rPr>
          <w:rFonts w:ascii="楷体_GB2312" w:hAnsi="黑体" w:eastAsia="楷体_GB2312"/>
          <w:color w:val="auto"/>
          <w:sz w:val="32"/>
          <w:szCs w:val="32"/>
        </w:rPr>
      </w:pPr>
    </w:p>
    <w:p>
      <w:pPr>
        <w:spacing w:line="660" w:lineRule="exact"/>
        <w:jc w:val="center"/>
        <w:rPr>
          <w:rFonts w:ascii="楷体_GB2312" w:hAnsi="黑体" w:eastAsia="楷体_GB2312"/>
          <w:color w:val="auto"/>
          <w:sz w:val="32"/>
          <w:szCs w:val="32"/>
        </w:rPr>
      </w:pPr>
    </w:p>
    <w:p>
      <w:pPr>
        <w:spacing w:line="660" w:lineRule="exact"/>
        <w:jc w:val="center"/>
        <w:rPr>
          <w:rFonts w:ascii="楷体_GB2312" w:hAnsi="黑体" w:eastAsia="楷体_GB2312"/>
          <w:color w:val="auto"/>
          <w:sz w:val="32"/>
          <w:szCs w:val="32"/>
        </w:rPr>
      </w:pPr>
    </w:p>
    <w:p>
      <w:pPr>
        <w:spacing w:line="660" w:lineRule="exact"/>
        <w:jc w:val="center"/>
        <w:rPr>
          <w:rFonts w:ascii="楷体_GB2312" w:hAnsi="黑体" w:eastAsia="楷体_GB2312"/>
          <w:color w:val="auto"/>
          <w:sz w:val="32"/>
          <w:szCs w:val="32"/>
        </w:rPr>
      </w:pPr>
    </w:p>
    <w:p>
      <w:pPr>
        <w:spacing w:line="660" w:lineRule="exact"/>
        <w:jc w:val="both"/>
        <w:rPr>
          <w:rFonts w:ascii="楷体_GB2312" w:hAnsi="黑体" w:eastAsia="楷体_GB2312"/>
          <w:color w:val="auto"/>
          <w:sz w:val="32"/>
          <w:szCs w:val="32"/>
        </w:rPr>
      </w:pPr>
    </w:p>
    <w:p>
      <w:pPr>
        <w:spacing w:line="660" w:lineRule="exact"/>
        <w:jc w:val="center"/>
        <w:rPr>
          <w:rFonts w:ascii="楷体_GB2312" w:hAnsi="黑体" w:eastAsia="楷体_GB2312"/>
          <w:color w:val="auto"/>
          <w:sz w:val="32"/>
          <w:szCs w:val="32"/>
        </w:rPr>
      </w:pPr>
    </w:p>
    <w:p>
      <w:pPr>
        <w:spacing w:line="660" w:lineRule="exact"/>
        <w:jc w:val="center"/>
        <w:rPr>
          <w:rFonts w:ascii="楷体_GB2312" w:hAnsi="黑体" w:eastAsia="楷体_GB2312"/>
          <w:color w:val="auto"/>
          <w:sz w:val="32"/>
          <w:szCs w:val="32"/>
        </w:rPr>
      </w:pPr>
    </w:p>
    <w:p>
      <w:pPr>
        <w:spacing w:line="360" w:lineRule="auto"/>
        <w:jc w:val="center"/>
        <w:rPr>
          <w:rFonts w:hint="eastAsia" w:ascii="楷体_GB2312" w:hAnsi="楷体_GB2312" w:eastAsia="楷体_GB2312" w:cs="楷体_GB2312"/>
          <w:b w:val="0"/>
          <w:bCs/>
          <w:kern w:val="2"/>
          <w:sz w:val="36"/>
          <w:szCs w:val="36"/>
        </w:rPr>
      </w:pPr>
      <w:r>
        <w:rPr>
          <w:rFonts w:hint="eastAsia" w:ascii="楷体_GB2312" w:hAnsi="楷体_GB2312" w:eastAsia="楷体_GB2312" w:cs="楷体_GB2312"/>
          <w:b w:val="0"/>
          <w:bCs/>
          <w:kern w:val="2"/>
          <w:sz w:val="36"/>
          <w:szCs w:val="36"/>
        </w:rPr>
        <w:t>连云</w:t>
      </w:r>
      <w:r>
        <w:rPr>
          <w:rFonts w:hint="eastAsia" w:ascii="楷体_GB2312" w:hAnsi="楷体_GB2312" w:eastAsia="楷体_GB2312" w:cs="楷体_GB2312"/>
          <w:b w:val="0"/>
          <w:bCs/>
          <w:kern w:val="2"/>
          <w:sz w:val="36"/>
          <w:szCs w:val="36"/>
          <w:lang w:eastAsia="zh-CN"/>
        </w:rPr>
        <w:t>区</w:t>
      </w:r>
      <w:r>
        <w:rPr>
          <w:rFonts w:hint="eastAsia" w:ascii="楷体_GB2312" w:hAnsi="楷体_GB2312" w:eastAsia="楷体_GB2312" w:cs="楷体_GB2312"/>
          <w:b w:val="0"/>
          <w:bCs/>
          <w:kern w:val="2"/>
          <w:sz w:val="36"/>
          <w:szCs w:val="36"/>
        </w:rPr>
        <w:t>应急管理局</w:t>
      </w:r>
    </w:p>
    <w:p>
      <w:pPr>
        <w:ind w:firstLine="660"/>
        <w:rPr>
          <w:rFonts w:ascii="黑体" w:hAnsi="黑体" w:eastAsia="黑体"/>
          <w:b/>
          <w:color w:val="auto"/>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sdt>
      <w:sdtPr>
        <w:rPr>
          <w:rFonts w:ascii="宋体" w:eastAsia="宋体"/>
          <w:color w:val="auto"/>
          <w:sz w:val="21"/>
        </w:rPr>
        <w:id w:val="147459193"/>
        <w:docPartObj>
          <w:docPartGallery w:val="Table of Contents"/>
          <w:docPartUnique/>
        </w:docPartObj>
      </w:sdtPr>
      <w:sdtEndPr>
        <w:rPr>
          <w:rFonts w:ascii="Times New Roman" w:hAnsi="Times New Roman" w:eastAsia="仿宋_GB2312"/>
          <w:b/>
          <w:color w:val="auto"/>
          <w:sz w:val="21"/>
        </w:rPr>
      </w:sdtEndPr>
      <w:sdtContent>
        <w:p>
          <w:pPr>
            <w:jc w:val="center"/>
            <w:rPr>
              <w:color w:val="auto"/>
              <w:sz w:val="36"/>
              <w:szCs w:val="36"/>
            </w:rPr>
          </w:pPr>
          <w:bookmarkStart w:id="0" w:name="_Toc38045720"/>
          <w:r>
            <w:rPr>
              <w:rFonts w:hint="eastAsia" w:ascii="黑体" w:hAnsi="黑体" w:eastAsia="黑体" w:cs="黑体"/>
              <w:color w:val="auto"/>
              <w:sz w:val="36"/>
              <w:szCs w:val="36"/>
            </w:rPr>
            <w:t>目</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rPr>
            <w:t>录</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8"/>
              <w:szCs w:val="28"/>
            </w:rPr>
          </w:pPr>
          <w:r>
            <w:rPr>
              <w:rFonts w:hint="eastAsia" w:ascii="Times New Roman" w:hAnsi="Times New Roman" w:eastAsia="仿宋_GB2312" w:cs="仿宋_GB2312"/>
              <w:sz w:val="24"/>
              <w:szCs w:val="24"/>
            </w:rPr>
            <w:fldChar w:fldCharType="begin"/>
          </w:r>
          <w:r>
            <w:rPr>
              <w:rFonts w:hint="eastAsia" w:ascii="Times New Roman" w:hAnsi="Times New Roman" w:eastAsia="仿宋_GB2312" w:cs="仿宋_GB2312"/>
              <w:sz w:val="24"/>
              <w:szCs w:val="24"/>
            </w:rPr>
            <w:instrText xml:space="preserve">TOC \o "1-2" \h \u </w:instrText>
          </w:r>
          <w:r>
            <w:rPr>
              <w:rFonts w:hint="eastAsia" w:ascii="Times New Roman" w:hAnsi="Times New Roman" w:eastAsia="仿宋_GB2312" w:cs="仿宋_GB2312"/>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_Toc497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前 言</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_Toc497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xml:space="preserve">- </w:t>
          </w:r>
          <w:r>
            <w:rPr>
              <w:rFonts w:hint="eastAsia" w:ascii="宋体" w:eastAsia="宋体" w:cs="宋体"/>
              <w:b/>
              <w:bCs/>
              <w:sz w:val="24"/>
              <w:szCs w:val="24"/>
              <w:lang w:val="en-US" w:eastAsia="zh-CN"/>
            </w:rPr>
            <w:t>2</w:t>
          </w:r>
          <w:r>
            <w:rPr>
              <w:rFonts w:hint="eastAsia" w:ascii="宋体" w:hAnsi="宋体" w:eastAsia="宋体" w:cs="宋体"/>
              <w:b/>
              <w:bCs/>
              <w:sz w:val="24"/>
              <w:szCs w:val="24"/>
            </w:rPr>
            <w:t xml:space="preserve"> -</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ascii="Times New Roman" w:hAnsi="Times New Roman" w:eastAsia="仿宋_GB2312"/>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_Toc11607 </w:instrText>
          </w:r>
          <w:r>
            <w:rPr>
              <w:rFonts w:hint="eastAsia" w:ascii="仿宋_GB2312" w:hAnsi="仿宋_GB2312" w:eastAsia="仿宋_GB2312" w:cs="仿宋_GB2312"/>
              <w:sz w:val="28"/>
              <w:szCs w:val="28"/>
            </w:rPr>
            <w:fldChar w:fldCharType="separate"/>
          </w:r>
          <w:r>
            <w:rPr>
              <w:rFonts w:hint="eastAsia" w:ascii="宋体" w:hAnsi="宋体" w:eastAsia="宋体" w:cs="宋体"/>
              <w:b/>
              <w:bCs/>
              <w:sz w:val="24"/>
              <w:szCs w:val="24"/>
            </w:rPr>
            <w:t>一、安全生产</w:t>
          </w:r>
          <w:r>
            <w:rPr>
              <w:rFonts w:hint="eastAsia" w:ascii="宋体" w:hAnsi="宋体" w:eastAsia="宋体" w:cs="宋体"/>
              <w:b/>
              <w:bCs/>
              <w:sz w:val="24"/>
              <w:szCs w:val="24"/>
              <w:lang w:eastAsia="zh-CN"/>
            </w:rPr>
            <w:t>和应急管理</w:t>
          </w:r>
          <w:r>
            <w:rPr>
              <w:rFonts w:hint="eastAsia" w:ascii="宋体" w:hAnsi="宋体" w:eastAsia="宋体" w:cs="宋体"/>
              <w:b/>
              <w:bCs/>
              <w:sz w:val="24"/>
              <w:szCs w:val="24"/>
            </w:rPr>
            <w:t>现状和面临形势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_Toc11607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xml:space="preserve">- </w:t>
          </w:r>
          <w:r>
            <w:rPr>
              <w:rFonts w:hint="eastAsia" w:hAnsi="仿宋_GB2312" w:cs="仿宋_GB2312"/>
              <w:sz w:val="28"/>
              <w:szCs w:val="28"/>
              <w:lang w:val="en-US" w:eastAsia="zh-CN"/>
            </w:rPr>
            <w:t>3</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_Toc26229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（一）“十三五”</w:t>
          </w:r>
          <w:r>
            <w:rPr>
              <w:rFonts w:hint="eastAsia" w:ascii="宋体" w:hAnsi="宋体" w:eastAsia="宋体" w:cs="宋体"/>
              <w:sz w:val="24"/>
              <w:szCs w:val="24"/>
            </w:rPr>
            <w:t xml:space="preserve"> 期间安全生产</w:t>
          </w:r>
          <w:r>
            <w:rPr>
              <w:rFonts w:hint="eastAsia" w:ascii="宋体" w:hAnsi="宋体" w:eastAsia="宋体" w:cs="宋体"/>
              <w:sz w:val="24"/>
              <w:szCs w:val="24"/>
              <w:lang w:eastAsia="zh-CN"/>
            </w:rPr>
            <w:t>和应急管理</w:t>
          </w:r>
          <w:r>
            <w:rPr>
              <w:rFonts w:hint="eastAsia" w:ascii="宋体" w:hAnsi="宋体" w:eastAsia="宋体" w:cs="宋体"/>
              <w:sz w:val="24"/>
              <w:szCs w:val="24"/>
            </w:rPr>
            <w:t>工作</w:t>
          </w:r>
          <w:r>
            <w:rPr>
              <w:rFonts w:hint="eastAsia" w:ascii="宋体" w:hAnsi="宋体" w:eastAsia="宋体" w:cs="宋体"/>
              <w:kern w:val="2"/>
              <w:sz w:val="24"/>
              <w:szCs w:val="24"/>
            </w:rPr>
            <w:t>进展及成效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_Toc26229 \h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 </w:t>
          </w:r>
          <w:r>
            <w:rPr>
              <w:rFonts w:hint="eastAsia" w:asci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ascii="Times New Roman" w:hAnsi="Times New Roman" w:eastAsia="仿宋_GB2312"/>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_Toc3997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（二）“十四五”时期面临的形势与挑战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_Toc3997 \h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 </w:t>
          </w:r>
          <w:r>
            <w:rPr>
              <w:rFonts w:hint="eastAsia" w:asci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ascii="Times New Roman" w:hAnsi="Times New Roman" w:eastAsia="仿宋_GB2312"/>
            </w:rPr>
          </w:pPr>
          <w:r>
            <w:rPr>
              <w:rFonts w:hint="eastAsia" w:ascii="Times New Roman" w:hAnsi="Times New Roman" w:eastAsia="仿宋_GB2312" w:cs="仿宋_GB2312"/>
              <w:color w:val="auto"/>
              <w:szCs w:val="24"/>
            </w:rPr>
            <w:fldChar w:fldCharType="begin"/>
          </w:r>
          <w:r>
            <w:rPr>
              <w:rFonts w:hint="eastAsia" w:ascii="Times New Roman" w:hAnsi="Times New Roman" w:eastAsia="仿宋_GB2312" w:cs="仿宋_GB2312"/>
              <w:szCs w:val="24"/>
            </w:rPr>
            <w:instrText xml:space="preserve"> HYPERLINK \l _Toc17227 </w:instrText>
          </w:r>
          <w:r>
            <w:rPr>
              <w:rFonts w:hint="eastAsia" w:ascii="Times New Roman" w:hAnsi="Times New Roman" w:eastAsia="仿宋_GB2312" w:cs="仿宋_GB2312"/>
              <w:szCs w:val="24"/>
            </w:rPr>
            <w:fldChar w:fldCharType="separate"/>
          </w:r>
          <w:r>
            <w:rPr>
              <w:rFonts w:hint="eastAsia" w:ascii="宋体" w:hAnsi="宋体" w:eastAsia="宋体" w:cs="宋体"/>
              <w:b/>
              <w:bCs/>
              <w:sz w:val="24"/>
              <w:szCs w:val="24"/>
            </w:rPr>
            <w:t>二、指导思想、基本原则和规划目标</w:t>
          </w:r>
          <w:r>
            <w:rPr>
              <w:rFonts w:hint="eastAsia" w:ascii="宋体" w:hAnsi="宋体" w:eastAsia="宋体" w:cs="宋体"/>
              <w:b/>
              <w:bCs/>
              <w:sz w:val="24"/>
              <w:szCs w:val="24"/>
            </w:rPr>
            <w:tab/>
          </w:r>
          <w:r>
            <w:rPr>
              <w:rFonts w:ascii="Times New Roman" w:hAnsi="Times New Roman" w:eastAsia="仿宋_GB2312"/>
            </w:rPr>
            <w:fldChar w:fldCharType="begin"/>
          </w:r>
          <w:r>
            <w:rPr>
              <w:rFonts w:ascii="Times New Roman" w:hAnsi="Times New Roman" w:eastAsia="仿宋_GB2312"/>
            </w:rPr>
            <w:instrText xml:space="preserve"> PAGEREF _Toc17227 \h </w:instrText>
          </w:r>
          <w:r>
            <w:rPr>
              <w:rFonts w:ascii="Times New Roman" w:hAnsi="Times New Roman" w:eastAsia="仿宋_GB2312"/>
            </w:rPr>
            <w:fldChar w:fldCharType="separate"/>
          </w:r>
          <w:r>
            <w:rPr>
              <w:rFonts w:ascii="Times New Roman" w:hAnsi="Times New Roman" w:eastAsia="仿宋_GB2312"/>
            </w:rPr>
            <w:t xml:space="preserve">- </w:t>
          </w:r>
          <w:r>
            <w:rPr>
              <w:rFonts w:hint="eastAsia" w:ascii="Times New Roman" w:hAnsi="Times New Roman"/>
              <w:lang w:val="en-US" w:eastAsia="zh-CN"/>
            </w:rPr>
            <w:t>7</w:t>
          </w:r>
          <w:r>
            <w:rPr>
              <w:rFonts w:ascii="Times New Roman" w:hAnsi="Times New Roman" w:eastAsia="仿宋_GB2312"/>
            </w:rPr>
            <w:t xml:space="preserve"> -</w:t>
          </w:r>
          <w:r>
            <w:rPr>
              <w:rFonts w:ascii="Times New Roman" w:hAnsi="Times New Roman" w:eastAsia="仿宋_GB2312"/>
            </w:rPr>
            <w:fldChar w:fldCharType="end"/>
          </w:r>
          <w:r>
            <w:rPr>
              <w:rFonts w:hint="eastAsia" w:ascii="Times New Roman" w:hAnsi="Times New Roman" w:eastAsia="仿宋_GB2312" w:cs="仿宋_GB2312"/>
              <w:color w:val="auto"/>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_Toc21694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（一）指导思想</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_Toc21694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7</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_Toc11545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（二）基本原则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_Toc11545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ascii="Times New Roman" w:hAnsi="Times New Roman" w:eastAsia="仿宋_GB2312"/>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_Toc1886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（三）规划目标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_Toc1886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8</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ascii="Times New Roman" w:hAnsi="Times New Roman" w:eastAsia="仿宋_GB2312"/>
            </w:rPr>
          </w:pPr>
          <w:r>
            <w:rPr>
              <w:rFonts w:hint="eastAsia" w:ascii="Times New Roman" w:hAnsi="Times New Roman" w:eastAsia="仿宋_GB2312" w:cs="仿宋_GB2312"/>
              <w:color w:val="auto"/>
              <w:szCs w:val="24"/>
            </w:rPr>
            <w:fldChar w:fldCharType="begin"/>
          </w:r>
          <w:r>
            <w:rPr>
              <w:rFonts w:hint="eastAsia" w:ascii="Times New Roman" w:hAnsi="Times New Roman" w:eastAsia="仿宋_GB2312" w:cs="仿宋_GB2312"/>
              <w:szCs w:val="24"/>
            </w:rPr>
            <w:instrText xml:space="preserve"> HYPERLINK \l _Toc29247 </w:instrText>
          </w:r>
          <w:r>
            <w:rPr>
              <w:rFonts w:hint="eastAsia" w:ascii="Times New Roman" w:hAnsi="Times New Roman" w:eastAsia="仿宋_GB2312" w:cs="仿宋_GB2312"/>
              <w:szCs w:val="24"/>
            </w:rPr>
            <w:fldChar w:fldCharType="separate"/>
          </w:r>
          <w:r>
            <w:rPr>
              <w:rFonts w:hint="eastAsia" w:ascii="宋体" w:hAnsi="宋体" w:eastAsia="宋体" w:cs="宋体"/>
              <w:b/>
              <w:bCs/>
              <w:sz w:val="24"/>
              <w:szCs w:val="24"/>
            </w:rPr>
            <w:t>三、主要任务</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_Toc29247 \h </w:instrText>
          </w:r>
          <w:r>
            <w:rPr>
              <w:rFonts w:ascii="Times New Roman" w:hAnsi="Times New Roman" w:eastAsia="仿宋_GB2312"/>
            </w:rPr>
            <w:fldChar w:fldCharType="separate"/>
          </w:r>
          <w:r>
            <w:rPr>
              <w:rFonts w:ascii="Times New Roman" w:hAnsi="Times New Roman" w:eastAsia="仿宋_GB2312"/>
            </w:rPr>
            <w:t xml:space="preserve">- </w:t>
          </w:r>
          <w:r>
            <w:rPr>
              <w:rFonts w:hint="eastAsia" w:ascii="Times New Roman" w:hAnsi="Times New Roman"/>
              <w:lang w:val="en-US" w:eastAsia="zh-CN"/>
            </w:rPr>
            <w:t>10</w:t>
          </w:r>
          <w:r>
            <w:rPr>
              <w:rFonts w:ascii="Times New Roman" w:hAnsi="Times New Roman" w:eastAsia="仿宋_GB2312"/>
            </w:rPr>
            <w:t xml:space="preserve"> -</w:t>
          </w:r>
          <w:r>
            <w:rPr>
              <w:rFonts w:ascii="Times New Roman" w:hAnsi="Times New Roman" w:eastAsia="仿宋_GB2312"/>
            </w:rPr>
            <w:fldChar w:fldCharType="end"/>
          </w:r>
          <w:r>
            <w:rPr>
              <w:rFonts w:hint="eastAsia" w:ascii="Times New Roman" w:hAnsi="Times New Roman" w:eastAsia="仿宋_GB2312" w:cs="仿宋_GB2312"/>
              <w:color w:val="auto"/>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_Toc6524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（一）强化重点行业领域安全监管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_Toc6524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_Toc11609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（二）完善安全生产责任体系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_Toc11609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17</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_Toc20854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（三）完善安全风险防控体系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_Toc20854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19</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）完善安全</w:t>
          </w:r>
          <w:r>
            <w:rPr>
              <w:rFonts w:hint="eastAsia" w:ascii="宋体" w:hAnsi="宋体" w:eastAsia="宋体" w:cs="宋体"/>
              <w:color w:val="auto"/>
              <w:sz w:val="24"/>
              <w:szCs w:val="24"/>
              <w:lang w:eastAsia="zh-CN"/>
            </w:rPr>
            <w:t>监管执法</w:t>
          </w:r>
          <w:r>
            <w:rPr>
              <w:rFonts w:hint="eastAsia" w:ascii="宋体" w:hAnsi="宋体" w:eastAsia="宋体" w:cs="宋体"/>
              <w:color w:val="auto"/>
              <w:sz w:val="24"/>
              <w:szCs w:val="24"/>
            </w:rPr>
            <w:t>体系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_Toc20854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23</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_Toc4278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（五）提升应急救援能力</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_Toc4278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25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_Toc12321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（六）提升安全生产基层基础监管能力</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_Toc12321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27</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_Toc23185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（七）提升</w:t>
          </w:r>
          <w:r>
            <w:rPr>
              <w:rFonts w:hint="eastAsia" w:ascii="宋体" w:hAnsi="宋体" w:eastAsia="宋体" w:cs="宋体"/>
              <w:color w:val="auto"/>
              <w:sz w:val="24"/>
              <w:szCs w:val="24"/>
              <w:lang w:eastAsia="zh-CN"/>
            </w:rPr>
            <w:t>安全生产</w:t>
          </w:r>
          <w:r>
            <w:rPr>
              <w:rFonts w:hint="eastAsia" w:ascii="宋体" w:hAnsi="宋体" w:eastAsia="宋体" w:cs="宋体"/>
              <w:color w:val="auto"/>
              <w:sz w:val="24"/>
              <w:szCs w:val="24"/>
            </w:rPr>
            <w:t>科技支撑能力</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_Toc23185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30</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ascii="Times New Roman" w:hAnsi="Times New Roman" w:eastAsia="仿宋_GB2312"/>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_Toc8348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（八）提升</w:t>
          </w:r>
          <w:r>
            <w:rPr>
              <w:rFonts w:hint="eastAsia" w:ascii="宋体" w:hAnsi="宋体" w:eastAsia="宋体" w:cs="宋体"/>
              <w:color w:val="auto"/>
              <w:sz w:val="24"/>
              <w:szCs w:val="24"/>
              <w:lang w:eastAsia="zh-CN"/>
            </w:rPr>
            <w:t>安全生产</w:t>
          </w:r>
          <w:r>
            <w:rPr>
              <w:rFonts w:hint="eastAsia" w:ascii="宋体" w:hAnsi="宋体" w:eastAsia="宋体" w:cs="宋体"/>
              <w:color w:val="auto"/>
              <w:sz w:val="24"/>
              <w:szCs w:val="24"/>
            </w:rPr>
            <w:t>社会共治能力</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_Toc8348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31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ascii="Times New Roman" w:hAnsi="Times New Roman" w:eastAsia="仿宋_GB2312"/>
            </w:rPr>
          </w:pPr>
          <w:r>
            <w:rPr>
              <w:rFonts w:hint="eastAsia" w:ascii="Times New Roman" w:hAnsi="Times New Roman" w:eastAsia="仿宋_GB2312" w:cs="仿宋_GB2312"/>
              <w:color w:val="auto"/>
              <w:szCs w:val="24"/>
            </w:rPr>
            <w:fldChar w:fldCharType="begin"/>
          </w:r>
          <w:r>
            <w:rPr>
              <w:rFonts w:hint="eastAsia" w:ascii="Times New Roman" w:hAnsi="Times New Roman" w:eastAsia="仿宋_GB2312" w:cs="仿宋_GB2312"/>
              <w:szCs w:val="24"/>
            </w:rPr>
            <w:instrText xml:space="preserve"> HYPERLINK \l _Toc8212 </w:instrText>
          </w:r>
          <w:r>
            <w:rPr>
              <w:rFonts w:hint="eastAsia" w:ascii="Times New Roman" w:hAnsi="Times New Roman" w:eastAsia="仿宋_GB2312" w:cs="仿宋_GB2312"/>
              <w:szCs w:val="24"/>
            </w:rPr>
            <w:fldChar w:fldCharType="separate"/>
          </w:r>
          <w:r>
            <w:rPr>
              <w:rFonts w:hint="eastAsia" w:ascii="宋体" w:hAnsi="宋体" w:eastAsia="宋体" w:cs="宋体"/>
              <w:b/>
              <w:bCs/>
              <w:sz w:val="24"/>
              <w:szCs w:val="24"/>
            </w:rPr>
            <w:t>四、重点工程项目</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_Toc8212 \h </w:instrText>
          </w:r>
          <w:r>
            <w:rPr>
              <w:rFonts w:ascii="Times New Roman" w:hAnsi="Times New Roman" w:eastAsia="仿宋_GB2312"/>
            </w:rPr>
            <w:fldChar w:fldCharType="separate"/>
          </w:r>
          <w:r>
            <w:rPr>
              <w:rFonts w:ascii="Times New Roman" w:hAnsi="Times New Roman" w:eastAsia="仿宋_GB2312"/>
            </w:rPr>
            <w:t>- 3</w:t>
          </w:r>
          <w:r>
            <w:rPr>
              <w:rFonts w:hint="eastAsia" w:ascii="Times New Roman" w:hAnsi="Times New Roman"/>
              <w:lang w:val="en-US" w:eastAsia="zh-CN"/>
            </w:rPr>
            <w:t>3</w:t>
          </w:r>
          <w:r>
            <w:rPr>
              <w:rFonts w:ascii="Times New Roman" w:hAnsi="Times New Roman" w:eastAsia="仿宋_GB2312"/>
            </w:rPr>
            <w:t xml:space="preserve"> -</w:t>
          </w:r>
          <w:r>
            <w:rPr>
              <w:rFonts w:ascii="Times New Roman" w:hAnsi="Times New Roman" w:eastAsia="仿宋_GB2312"/>
            </w:rPr>
            <w:fldChar w:fldCharType="end"/>
          </w:r>
          <w:r>
            <w:rPr>
              <w:rFonts w:hint="eastAsia" w:ascii="Times New Roman" w:hAnsi="Times New Roman" w:eastAsia="仿宋_GB2312" w:cs="仿宋_GB2312"/>
              <w:color w:val="auto"/>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（一）安全发展示范城市创建工程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w:t>
          </w:r>
          <w:r>
            <w:rPr>
              <w:rFonts w:hint="eastAsia" w:asci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_Toc19819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（二）重点领域安全风险防控能力提升工程</w:t>
          </w:r>
          <w:r>
            <w:rPr>
              <w:rFonts w:hint="eastAsia" w:ascii="宋体" w:hAnsi="宋体" w:eastAsia="宋体" w:cs="宋体"/>
              <w:color w:val="auto"/>
              <w:sz w:val="24"/>
              <w:szCs w:val="24"/>
            </w:rPr>
            <w:tab/>
          </w:r>
          <w:r>
            <w:rPr>
              <w:rFonts w:hint="eastAsia" w:ascii="宋体" w:eastAsia="宋体" w:cs="宋体"/>
              <w:color w:val="auto"/>
              <w:sz w:val="24"/>
              <w:szCs w:val="24"/>
              <w:lang w:val="en-US" w:eastAsia="zh-CN"/>
            </w:rP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_Toc19819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w:t>
          </w:r>
          <w:r>
            <w:rPr>
              <w:rFonts w:hint="eastAsia" w:asci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_Toc14502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（三）企业本质安全提升工程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_Toc14502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w:t>
          </w:r>
          <w:r>
            <w:rPr>
              <w:rFonts w:hint="eastAsia" w:asci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_Toc27502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）安全生产信息技术支撑工程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_Toc27502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w:t>
          </w:r>
          <w:r>
            <w:rPr>
              <w:rFonts w:hint="eastAsia" w:asci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_Toc15260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）全民安全教育</w:t>
          </w:r>
          <w:r>
            <w:rPr>
              <w:rFonts w:hint="eastAsia" w:ascii="宋体" w:hAnsi="宋体" w:eastAsia="宋体" w:cs="宋体"/>
              <w:color w:val="auto"/>
              <w:sz w:val="24"/>
              <w:szCs w:val="24"/>
              <w:lang w:eastAsia="zh-CN"/>
            </w:rPr>
            <w:t>普及工程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_Toc15260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w:t>
          </w:r>
          <w:r>
            <w:rPr>
              <w:rFonts w:hint="eastAsia" w:ascii="宋体" w:eastAsia="宋体" w:cs="宋体"/>
              <w:color w:val="auto"/>
              <w:sz w:val="24"/>
              <w:szCs w:val="24"/>
              <w:lang w:val="en-US" w:eastAsia="zh-CN"/>
            </w:rPr>
            <w:t>6</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_Toc32689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应急指挥体系建设工程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_Toc32689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w:t>
          </w:r>
          <w:r>
            <w:rPr>
              <w:rFonts w:hint="eastAsia" w:ascii="宋体" w:eastAsia="宋体" w:cs="宋体"/>
              <w:color w:val="auto"/>
              <w:sz w:val="24"/>
              <w:szCs w:val="24"/>
              <w:lang w:val="en-US" w:eastAsia="zh-CN"/>
            </w:rPr>
            <w:t>7</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_Toc2823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自然灾害风险普查工程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_Toc2823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w:t>
          </w:r>
          <w:r>
            <w:rPr>
              <w:rFonts w:hint="eastAsia" w:ascii="宋体" w:eastAsia="宋体" w:cs="宋体"/>
              <w:color w:val="auto"/>
              <w:sz w:val="24"/>
              <w:szCs w:val="24"/>
              <w:lang w:val="en-US" w:eastAsia="zh-CN"/>
            </w:rPr>
            <w:t>7</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ascii="Times New Roman" w:hAnsi="Times New Roman" w:eastAsia="仿宋_GB2312"/>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_Toc16888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应急救援救助能力提升工程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_Toc16888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w:t>
          </w:r>
          <w:r>
            <w:rPr>
              <w:rFonts w:hint="eastAsia" w:ascii="宋体" w:eastAsia="宋体" w:cs="宋体"/>
              <w:color w:val="auto"/>
              <w:sz w:val="24"/>
              <w:szCs w:val="24"/>
              <w:lang w:val="en-US" w:eastAsia="zh-CN"/>
            </w:rPr>
            <w:t>8</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ascii="Times New Roman" w:hAnsi="Times New Roman" w:eastAsia="仿宋_GB2312"/>
            </w:rPr>
          </w:pPr>
          <w:r>
            <w:rPr>
              <w:rFonts w:hint="eastAsia" w:ascii="Times New Roman" w:hAnsi="Times New Roman" w:eastAsia="仿宋_GB2312" w:cs="仿宋_GB2312"/>
              <w:color w:val="auto"/>
              <w:szCs w:val="24"/>
            </w:rPr>
            <w:fldChar w:fldCharType="begin"/>
          </w:r>
          <w:r>
            <w:rPr>
              <w:rFonts w:hint="eastAsia" w:ascii="Times New Roman" w:hAnsi="Times New Roman" w:eastAsia="仿宋_GB2312" w:cs="仿宋_GB2312"/>
              <w:szCs w:val="24"/>
            </w:rPr>
            <w:instrText xml:space="preserve"> HYPERLINK \l _Toc13115 </w:instrText>
          </w:r>
          <w:r>
            <w:rPr>
              <w:rFonts w:hint="eastAsia" w:ascii="Times New Roman" w:hAnsi="Times New Roman" w:eastAsia="仿宋_GB2312" w:cs="仿宋_GB2312"/>
              <w:szCs w:val="24"/>
            </w:rPr>
            <w:fldChar w:fldCharType="separate"/>
          </w:r>
          <w:r>
            <w:rPr>
              <w:rFonts w:hint="eastAsia" w:ascii="宋体" w:hAnsi="宋体" w:eastAsia="宋体" w:cs="宋体"/>
              <w:b/>
              <w:bCs/>
              <w:sz w:val="24"/>
              <w:szCs w:val="24"/>
            </w:rPr>
            <w:t>五、保障措施</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_Toc13115 \h </w:instrText>
          </w:r>
          <w:r>
            <w:rPr>
              <w:rFonts w:ascii="Times New Roman" w:hAnsi="Times New Roman" w:eastAsia="仿宋_GB2312"/>
            </w:rPr>
            <w:fldChar w:fldCharType="separate"/>
          </w:r>
          <w:r>
            <w:rPr>
              <w:rFonts w:ascii="Times New Roman" w:hAnsi="Times New Roman" w:eastAsia="仿宋_GB2312"/>
            </w:rPr>
            <w:t>- 3</w:t>
          </w:r>
          <w:r>
            <w:rPr>
              <w:rFonts w:hint="eastAsia" w:ascii="Times New Roman" w:hAnsi="Times New Roman"/>
              <w:lang w:val="en-US" w:eastAsia="zh-CN"/>
            </w:rPr>
            <w:t>9</w:t>
          </w:r>
          <w:r>
            <w:rPr>
              <w:rFonts w:ascii="Times New Roman" w:hAnsi="Times New Roman" w:eastAsia="仿宋_GB2312"/>
            </w:rPr>
            <w:t xml:space="preserve"> -</w:t>
          </w:r>
          <w:r>
            <w:rPr>
              <w:rFonts w:ascii="Times New Roman" w:hAnsi="Times New Roman" w:eastAsia="仿宋_GB2312"/>
            </w:rPr>
            <w:fldChar w:fldCharType="end"/>
          </w:r>
          <w:r>
            <w:rPr>
              <w:rFonts w:hint="eastAsia" w:ascii="Times New Roman" w:hAnsi="Times New Roman" w:eastAsia="仿宋_GB2312" w:cs="仿宋_GB2312"/>
              <w:color w:val="auto"/>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_Toc31327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（一）加强组织领导</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_Toc31327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w:t>
          </w:r>
          <w:r>
            <w:rPr>
              <w:rFonts w:hint="eastAsia" w:ascii="宋体" w:eastAsia="宋体" w:cs="宋体"/>
              <w:color w:val="auto"/>
              <w:sz w:val="24"/>
              <w:szCs w:val="24"/>
              <w:lang w:val="en-US" w:eastAsia="zh-CN"/>
            </w:rPr>
            <w:t>9</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_Toc31894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（二）加大政策支持</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_Toc31894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w:t>
          </w:r>
          <w:r>
            <w:rPr>
              <w:rFonts w:hint="eastAsia" w:ascii="宋体" w:eastAsia="宋体" w:cs="宋体"/>
              <w:color w:val="auto"/>
              <w:sz w:val="24"/>
              <w:szCs w:val="24"/>
              <w:lang w:val="en-US" w:eastAsia="zh-CN"/>
            </w:rPr>
            <w:t>9</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_Toc13756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（三）强化协同推进</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_Toc13756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w:t>
          </w:r>
          <w:r>
            <w:rPr>
              <w:rFonts w:hint="eastAsia" w:ascii="宋体" w:eastAsia="宋体" w:cs="宋体"/>
              <w:color w:val="auto"/>
              <w:sz w:val="24"/>
              <w:szCs w:val="24"/>
              <w:lang w:val="en-US" w:eastAsia="zh-CN"/>
            </w:rPr>
            <w:t>9</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ascii="Times New Roman" w:hAnsi="Times New Roman" w:eastAsia="仿宋_GB2312"/>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_Toc14042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（四）注重绩效评估</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_Toc14042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 </w:t>
          </w:r>
          <w:r>
            <w:rPr>
              <w:rFonts w:hint="eastAsia" w:ascii="宋体" w:eastAsia="宋体" w:cs="宋体"/>
              <w:color w:val="auto"/>
              <w:sz w:val="24"/>
              <w:szCs w:val="24"/>
              <w:lang w:val="en-US" w:eastAsia="zh-CN"/>
            </w:rPr>
            <w:t>40</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olor w:val="auto"/>
            </w:rPr>
          </w:pPr>
          <w:r>
            <w:rPr>
              <w:rFonts w:hint="eastAsia" w:ascii="Times New Roman" w:hAnsi="Times New Roman" w:eastAsia="仿宋_GB2312" w:cs="仿宋_GB2312"/>
              <w:color w:val="auto"/>
              <w:szCs w:val="24"/>
            </w:rPr>
            <w:fldChar w:fldCharType="end"/>
          </w:r>
        </w:p>
      </w:sdtContent>
    </w:sdt>
    <w:bookmarkEnd w:id="0"/>
    <w:p>
      <w:pPr>
        <w:keepNext w:val="0"/>
        <w:keepLines w:val="0"/>
        <w:pageBreakBefore w:val="0"/>
        <w:widowControl w:val="0"/>
        <w:kinsoku/>
        <w:wordWrap/>
        <w:overflowPunct/>
        <w:topLinePunct w:val="0"/>
        <w:autoSpaceDE/>
        <w:autoSpaceDN/>
        <w:bidi w:val="0"/>
        <w:adjustRightInd/>
        <w:snapToGrid/>
        <w:spacing w:line="400" w:lineRule="exact"/>
        <w:ind w:firstLine="660"/>
        <w:textAlignment w:val="auto"/>
        <w:rPr>
          <w:rFonts w:ascii="Times New Roman" w:hAnsi="Times New Roman" w:eastAsia="仿宋_GB2312"/>
          <w:b/>
          <w:color w:val="auto"/>
          <w:sz w:val="32"/>
          <w:szCs w:val="32"/>
        </w:rPr>
        <w:sectPr>
          <w:footerReference r:id="rId4" w:type="default"/>
          <w:pgSz w:w="11906" w:h="16838"/>
          <w:pgMar w:top="1440" w:right="1800" w:bottom="1440" w:left="1800" w:header="851" w:footer="992" w:gutter="0"/>
          <w:pgNumType w:fmt="numberInDash" w:start="1"/>
          <w:cols w:space="425" w:num="1"/>
          <w:docGrid w:type="lines" w:linePitch="312" w:charSpace="0"/>
        </w:sectPr>
      </w:pPr>
    </w:p>
    <w:p>
      <w:pPr>
        <w:pStyle w:val="3"/>
        <w:pageBreakBefore w:val="0"/>
        <w:kinsoku/>
        <w:wordWrap/>
        <w:topLinePunct w:val="0"/>
        <w:bidi w:val="0"/>
        <w:spacing w:beforeLines="0" w:afterLines="0" w:line="550" w:lineRule="exact"/>
        <w:ind w:left="0" w:leftChars="0" w:firstLine="643" w:firstLineChars="200"/>
        <w:jc w:val="center"/>
        <w:textAlignment w:val="auto"/>
        <w:rPr>
          <w:rFonts w:hint="eastAsia" w:ascii="黑体" w:hAnsi="黑体" w:cs="黑体"/>
          <w:color w:val="auto"/>
          <w:sz w:val="32"/>
          <w:szCs w:val="32"/>
        </w:rPr>
      </w:pPr>
      <w:bookmarkStart w:id="1" w:name="_Toc78467524"/>
      <w:bookmarkStart w:id="2" w:name="_Toc497"/>
      <w:r>
        <w:rPr>
          <w:rFonts w:hint="eastAsia" w:ascii="黑体" w:hAnsi="黑体" w:cs="黑体"/>
          <w:color w:val="auto"/>
          <w:sz w:val="32"/>
          <w:szCs w:val="32"/>
        </w:rPr>
        <w:t>前 言</w:t>
      </w:r>
      <w:bookmarkEnd w:id="1"/>
      <w:bookmarkEnd w:id="2"/>
    </w:p>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五”时期是我国全面建成小康社会、实现第一个百年奋斗目标之后，乘势而上开启全面建设社会主义现代化国家新征程、向第二个百年奋斗目标进军的第一个五年，是高举习近平新时代中国特色社会主义思想伟大旗帜，为实现第二个百年奋斗目标继而实现中华民族伟大复兴的中国梦奠定坚实基础的关键五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“十四五”时期，是我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奋斗新时代，奋进新征程，加快新时代的“后发先至”，全面开创新局，建设人民期待的现代化新</w:t>
      </w:r>
      <w:r>
        <w:rPr>
          <w:rFonts w:hint="eastAsia" w:ascii="仿宋_GB2312" w:hAnsi="仿宋_GB2312" w:eastAsia="仿宋_GB2312" w:cs="仿宋_GB2312"/>
          <w:color w:val="auto"/>
          <w:sz w:val="32"/>
          <w:szCs w:val="32"/>
          <w:lang w:eastAsia="zh-CN"/>
        </w:rPr>
        <w:t>连云</w:t>
      </w:r>
      <w:r>
        <w:rPr>
          <w:rFonts w:hint="eastAsia" w:ascii="仿宋_GB2312" w:hAnsi="仿宋_GB2312" w:eastAsia="仿宋_GB2312" w:cs="仿宋_GB2312"/>
          <w:color w:val="auto"/>
          <w:sz w:val="32"/>
          <w:szCs w:val="32"/>
        </w:rPr>
        <w:t>的关键时期。要坚持“人民至上、生命至上”，统筹发展和安全，加快推进全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安全生产治理体系和治理能力现代化建设，全面防患化解重大风险，牢固树立安全发展理念，为连云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新时代后发先至提供坚实的安全生产保障。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根据《连云区国民经济和社会发展第十四个五年规划纲要》</w:t>
      </w:r>
      <w:r>
        <w:rPr>
          <w:rFonts w:hint="eastAsia" w:ascii="仿宋_GB2312" w:hAnsi="仿宋_GB2312" w:eastAsia="仿宋_GB2312" w:cs="仿宋_GB2312"/>
          <w:color w:val="auto"/>
          <w:sz w:val="32"/>
          <w:szCs w:val="32"/>
        </w:rPr>
        <w:t>编制《连云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“十四五”安全生产</w:t>
      </w:r>
      <w:r>
        <w:rPr>
          <w:rFonts w:hint="eastAsia" w:ascii="仿宋_GB2312" w:hAnsi="仿宋_GB2312" w:eastAsia="仿宋_GB2312" w:cs="仿宋_GB2312"/>
          <w:color w:val="auto"/>
          <w:sz w:val="32"/>
          <w:szCs w:val="32"/>
          <w:lang w:eastAsia="zh-CN"/>
        </w:rPr>
        <w:t>和应急管理体系建设</w:t>
      </w:r>
      <w:r>
        <w:rPr>
          <w:rFonts w:hint="eastAsia" w:ascii="仿宋_GB2312" w:hAnsi="仿宋_GB2312" w:eastAsia="仿宋_GB2312" w:cs="仿宋_GB2312"/>
          <w:color w:val="auto"/>
          <w:sz w:val="32"/>
          <w:szCs w:val="32"/>
        </w:rPr>
        <w:t>规划》，主要阐明“十四五”时期安全生产</w:t>
      </w:r>
      <w:r>
        <w:rPr>
          <w:rFonts w:hint="eastAsia" w:ascii="仿宋_GB2312" w:hAnsi="仿宋_GB2312" w:eastAsia="仿宋_GB2312" w:cs="仿宋_GB2312"/>
          <w:color w:val="auto"/>
          <w:sz w:val="32"/>
          <w:szCs w:val="32"/>
          <w:lang w:eastAsia="zh-CN"/>
        </w:rPr>
        <w:t>和应急管理</w:t>
      </w:r>
      <w:r>
        <w:rPr>
          <w:rFonts w:hint="eastAsia" w:ascii="仿宋_GB2312" w:hAnsi="仿宋_GB2312" w:eastAsia="仿宋_GB2312" w:cs="仿宋_GB2312"/>
          <w:color w:val="auto"/>
          <w:sz w:val="32"/>
          <w:szCs w:val="32"/>
        </w:rPr>
        <w:t>面临的机遇和挑战、主要目标、主要任务和重点工程，是全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安全生产</w:t>
      </w:r>
      <w:r>
        <w:rPr>
          <w:rFonts w:hint="eastAsia" w:ascii="仿宋_GB2312" w:hAnsi="仿宋_GB2312" w:eastAsia="仿宋_GB2312" w:cs="仿宋_GB2312"/>
          <w:color w:val="auto"/>
          <w:sz w:val="32"/>
          <w:szCs w:val="32"/>
          <w:lang w:eastAsia="zh-CN"/>
        </w:rPr>
        <w:t>和应急管理</w:t>
      </w:r>
      <w:r>
        <w:rPr>
          <w:rFonts w:hint="eastAsia" w:ascii="仿宋_GB2312" w:hAnsi="仿宋_GB2312" w:eastAsia="仿宋_GB2312" w:cs="仿宋_GB2312"/>
          <w:color w:val="auto"/>
          <w:sz w:val="32"/>
          <w:szCs w:val="32"/>
        </w:rPr>
        <w:t>工作的行动纲领。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sectPr>
          <w:footerReference r:id="rId5"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bookmarkStart w:id="3" w:name="_Toc40947944"/>
      <w:bookmarkStart w:id="4" w:name="_Toc78467525"/>
      <w:r>
        <w:rPr>
          <w:rFonts w:hint="eastAsia" w:ascii="仿宋_GB2312" w:hAnsi="仿宋_GB2312" w:eastAsia="仿宋_GB2312" w:cs="仿宋_GB2312"/>
          <w:color w:val="auto"/>
          <w:sz w:val="32"/>
          <w:szCs w:val="32"/>
        </w:rPr>
        <w:t>为深入学习贯彻习近平总书记关于安全生产重要论述，认真落实中央和省委省政府、市委市政府</w:t>
      </w:r>
      <w:r>
        <w:rPr>
          <w:rFonts w:hint="eastAsia" w:ascii="仿宋_GB2312" w:hAnsi="仿宋_GB2312" w:eastAsia="仿宋_GB2312" w:cs="仿宋_GB2312"/>
          <w:color w:val="auto"/>
          <w:sz w:val="32"/>
          <w:szCs w:val="32"/>
          <w:lang w:eastAsia="zh-CN"/>
        </w:rPr>
        <w:t>、区委区政府</w:t>
      </w:r>
      <w:r>
        <w:rPr>
          <w:rFonts w:hint="eastAsia" w:ascii="仿宋_GB2312" w:hAnsi="仿宋_GB2312" w:eastAsia="仿宋_GB2312" w:cs="仿宋_GB2312"/>
          <w:color w:val="auto"/>
          <w:sz w:val="32"/>
          <w:szCs w:val="32"/>
        </w:rPr>
        <w:t>关于“十四五”期间安全生产</w:t>
      </w:r>
      <w:r>
        <w:rPr>
          <w:rFonts w:hint="eastAsia" w:ascii="仿宋_GB2312" w:hAnsi="仿宋_GB2312" w:eastAsia="仿宋_GB2312" w:cs="仿宋_GB2312"/>
          <w:color w:val="auto"/>
          <w:sz w:val="32"/>
          <w:szCs w:val="32"/>
          <w:lang w:eastAsia="zh-CN"/>
        </w:rPr>
        <w:t>和应急管理</w:t>
      </w:r>
      <w:r>
        <w:rPr>
          <w:rFonts w:hint="eastAsia" w:ascii="仿宋_GB2312" w:hAnsi="仿宋_GB2312" w:eastAsia="仿宋_GB2312" w:cs="仿宋_GB2312"/>
          <w:color w:val="auto"/>
          <w:sz w:val="32"/>
          <w:szCs w:val="32"/>
        </w:rPr>
        <w:t>作的决策部署，统筹好发展与安全“两件大事”，全面防范化解重大风险，加快推进全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安全生产治理体系和治理能力现代化建设，根据</w:t>
      </w:r>
      <w:r>
        <w:rPr>
          <w:rFonts w:hint="eastAsia" w:ascii="仿宋_GB2312" w:hAnsi="仿宋_GB2312" w:eastAsia="仿宋_GB2312" w:cs="仿宋_GB2312"/>
          <w:color w:val="auto"/>
          <w:sz w:val="32"/>
          <w:szCs w:val="32"/>
          <w:lang w:val="en-US" w:eastAsia="zh-CN"/>
        </w:rPr>
        <w:t>《中华人民共和国安全生产法》、《中华人民共和国突发事件应对法》、《江苏省安全生产条例》、《江苏省“十四五”应急管理体系和能力建设规划》、《连云港市“十四五”安全生产规划》、《连云港市“十四五”应急管理体系和能力建设规划》</w:t>
      </w:r>
      <w:r>
        <w:rPr>
          <w:rFonts w:hint="eastAsia" w:ascii="仿宋_GB2312" w:hAnsi="仿宋_GB2312" w:eastAsia="仿宋_GB2312" w:cs="仿宋_GB2312"/>
          <w:color w:val="auto"/>
          <w:sz w:val="32"/>
          <w:szCs w:val="32"/>
        </w:rPr>
        <w:t>等相关法律法规和文件规定，结合我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安全生产</w:t>
      </w:r>
      <w:r>
        <w:rPr>
          <w:rFonts w:hint="eastAsia" w:ascii="仿宋_GB2312" w:hAnsi="仿宋_GB2312" w:eastAsia="仿宋_GB2312" w:cs="仿宋_GB2312"/>
          <w:color w:val="auto"/>
          <w:sz w:val="32"/>
          <w:szCs w:val="32"/>
          <w:lang w:eastAsia="zh-CN"/>
        </w:rPr>
        <w:t>和应急管理</w:t>
      </w:r>
      <w:r>
        <w:rPr>
          <w:rFonts w:hint="eastAsia" w:ascii="仿宋_GB2312" w:hAnsi="仿宋_GB2312" w:eastAsia="仿宋_GB2312" w:cs="仿宋_GB2312"/>
          <w:color w:val="auto"/>
          <w:sz w:val="32"/>
          <w:szCs w:val="32"/>
        </w:rPr>
        <w:t>工作实际，制定本规划。</w:t>
      </w:r>
    </w:p>
    <w:p>
      <w:pPr>
        <w:pStyle w:val="3"/>
        <w:pageBreakBefore w:val="0"/>
        <w:widowControl w:val="0"/>
        <w:kinsoku/>
        <w:wordWrap/>
        <w:overflowPunct/>
        <w:topLinePunct w:val="0"/>
        <w:autoSpaceDE/>
        <w:autoSpaceDN/>
        <w:bidi w:val="0"/>
        <w:spacing w:beforeLines="0" w:afterLines="0" w:line="560" w:lineRule="exact"/>
        <w:ind w:left="0" w:leftChars="0" w:firstLine="640" w:firstLineChars="200"/>
        <w:jc w:val="both"/>
        <w:textAlignment w:val="auto"/>
        <w:rPr>
          <w:b w:val="0"/>
          <w:bCs w:val="0"/>
          <w:color w:val="auto"/>
          <w:sz w:val="32"/>
          <w:szCs w:val="32"/>
        </w:rPr>
      </w:pPr>
      <w:bookmarkStart w:id="5" w:name="_Toc11607"/>
      <w:r>
        <w:rPr>
          <w:rFonts w:hint="eastAsia"/>
          <w:b w:val="0"/>
          <w:bCs w:val="0"/>
          <w:color w:val="auto"/>
          <w:sz w:val="32"/>
          <w:szCs w:val="32"/>
        </w:rPr>
        <w:t>一、安全生产</w:t>
      </w:r>
      <w:r>
        <w:rPr>
          <w:rFonts w:hint="eastAsia"/>
          <w:b w:val="0"/>
          <w:bCs w:val="0"/>
          <w:color w:val="auto"/>
          <w:sz w:val="32"/>
          <w:szCs w:val="32"/>
          <w:lang w:eastAsia="zh-CN"/>
        </w:rPr>
        <w:t>和应急管理</w:t>
      </w:r>
      <w:r>
        <w:rPr>
          <w:rFonts w:hint="eastAsia"/>
          <w:b w:val="0"/>
          <w:bCs w:val="0"/>
          <w:color w:val="auto"/>
          <w:sz w:val="32"/>
          <w:szCs w:val="32"/>
        </w:rPr>
        <w:t>现状和面临形势</w:t>
      </w:r>
      <w:bookmarkEnd w:id="3"/>
      <w:bookmarkEnd w:id="4"/>
      <w:bookmarkEnd w:id="5"/>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sz w:val="32"/>
          <w:szCs w:val="32"/>
        </w:rPr>
      </w:pPr>
      <w:bookmarkStart w:id="6" w:name="_Toc40947945"/>
      <w:bookmarkStart w:id="7" w:name="_Toc78467526"/>
      <w:r>
        <w:rPr>
          <w:rFonts w:hint="eastAsia"/>
          <w:sz w:val="32"/>
          <w:szCs w:val="32"/>
        </w:rPr>
        <w:t>党的十八大以来，以习近平同志为核心的党中央坚持以人民为中心的发展思想，把安全发展摆在治国理政的高度进行整体谋划推进，为全</w:t>
      </w:r>
      <w:r>
        <w:rPr>
          <w:rFonts w:hint="eastAsia"/>
          <w:sz w:val="32"/>
          <w:szCs w:val="32"/>
          <w:lang w:eastAsia="zh-CN"/>
        </w:rPr>
        <w:t>区</w:t>
      </w:r>
      <w:r>
        <w:rPr>
          <w:rFonts w:hint="eastAsia"/>
          <w:sz w:val="32"/>
          <w:szCs w:val="32"/>
        </w:rPr>
        <w:t>加强安全生产工作提供了根本遵循和行动指南。“十三五”期间，</w:t>
      </w:r>
      <w:r>
        <w:rPr>
          <w:rFonts w:hint="eastAsia"/>
          <w:sz w:val="32"/>
          <w:szCs w:val="32"/>
          <w:lang w:eastAsia="zh-CN"/>
        </w:rPr>
        <w:t>区</w:t>
      </w:r>
      <w:r>
        <w:rPr>
          <w:rFonts w:hint="eastAsia"/>
          <w:sz w:val="32"/>
          <w:szCs w:val="32"/>
        </w:rPr>
        <w:t>委</w:t>
      </w:r>
      <w:r>
        <w:rPr>
          <w:rFonts w:hint="eastAsia"/>
          <w:sz w:val="32"/>
          <w:szCs w:val="32"/>
          <w:lang w:eastAsia="zh-CN"/>
        </w:rPr>
        <w:t>区</w:t>
      </w:r>
      <w:r>
        <w:rPr>
          <w:rFonts w:hint="eastAsia"/>
          <w:sz w:val="32"/>
          <w:szCs w:val="32"/>
        </w:rPr>
        <w:t>政府深入学习贯彻习近平总书记关于安全生产重要论述和指示精神，牢固把握安全发展理念，坚持人民至上、生命至上，始终把安全生产放在首要位置，统筹推进安全生产领域改革发展，全面提升安全生产治理体系和治理能力现代化水平，坚决扛起“促一方发展，保一方平安”的政治责任，切实维护人民</w:t>
      </w:r>
      <w:bookmarkStart w:id="99" w:name="_GoBack"/>
      <w:bookmarkEnd w:id="99"/>
      <w:r>
        <w:rPr>
          <w:rFonts w:hint="eastAsia"/>
          <w:sz w:val="32"/>
          <w:szCs w:val="32"/>
        </w:rPr>
        <w:t>群众生命财产安全和社会和谐稳定。</w:t>
      </w:r>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8" w:name="_Toc26229"/>
      <w:r>
        <w:rPr>
          <w:rFonts w:hint="eastAsia" w:ascii="Times New Roman" w:hAnsi="Times New Roman" w:cs="Times New Roman"/>
          <w:b w:val="0"/>
          <w:bCs w:val="0"/>
          <w:color w:val="auto"/>
          <w:kern w:val="2"/>
          <w:szCs w:val="30"/>
        </w:rPr>
        <w:t>（一）“十三五”</w:t>
      </w:r>
      <w:r>
        <w:rPr>
          <w:rFonts w:hint="eastAsia"/>
          <w:b w:val="0"/>
          <w:bCs w:val="0"/>
          <w:color w:val="auto"/>
        </w:rPr>
        <w:t xml:space="preserve"> 期间安全生产</w:t>
      </w:r>
      <w:r>
        <w:rPr>
          <w:rFonts w:hint="eastAsia"/>
          <w:b w:val="0"/>
          <w:bCs w:val="0"/>
          <w:color w:val="auto"/>
          <w:lang w:eastAsia="zh-CN"/>
        </w:rPr>
        <w:t>和应急管理</w:t>
      </w:r>
      <w:r>
        <w:rPr>
          <w:rFonts w:hint="eastAsia"/>
          <w:b w:val="0"/>
          <w:bCs w:val="0"/>
          <w:color w:val="auto"/>
        </w:rPr>
        <w:t>工作</w:t>
      </w:r>
      <w:r>
        <w:rPr>
          <w:rFonts w:hint="eastAsia" w:ascii="Times New Roman" w:hAnsi="Times New Roman" w:cs="Times New Roman"/>
          <w:b w:val="0"/>
          <w:bCs w:val="0"/>
          <w:color w:val="auto"/>
          <w:kern w:val="2"/>
          <w:szCs w:val="30"/>
        </w:rPr>
        <w:t>进展及成效</w:t>
      </w:r>
      <w:bookmarkEnd w:id="6"/>
      <w:bookmarkEnd w:id="7"/>
      <w:bookmarkEnd w:id="8"/>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rFonts w:hint="eastAsia"/>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lang w:eastAsia="zh-CN"/>
        </w:rPr>
        <w:t>安全生产形势持续向</w:t>
      </w:r>
      <w:r>
        <w:rPr>
          <w:rFonts w:hint="eastAsia"/>
          <w:b/>
          <w:bCs/>
          <w:sz w:val="32"/>
          <w:szCs w:val="32"/>
          <w:lang w:eastAsia="zh-CN"/>
        </w:rPr>
        <w:t>好。</w:t>
      </w:r>
      <w:r>
        <w:rPr>
          <w:rFonts w:hint="eastAsia"/>
          <w:sz w:val="32"/>
          <w:szCs w:val="32"/>
        </w:rPr>
        <w:t>“十三五”期间，全</w:t>
      </w:r>
      <w:r>
        <w:rPr>
          <w:rFonts w:hint="eastAsia"/>
          <w:sz w:val="32"/>
          <w:szCs w:val="32"/>
          <w:lang w:eastAsia="zh-CN"/>
        </w:rPr>
        <w:t>区</w:t>
      </w:r>
      <w:r>
        <w:rPr>
          <w:rFonts w:hint="eastAsia"/>
          <w:sz w:val="32"/>
          <w:szCs w:val="32"/>
        </w:rPr>
        <w:t>上下坚决贯彻落实中央和省市</w:t>
      </w:r>
      <w:r>
        <w:rPr>
          <w:rFonts w:hint="eastAsia"/>
          <w:sz w:val="32"/>
          <w:szCs w:val="32"/>
          <w:lang w:eastAsia="zh-CN"/>
        </w:rPr>
        <w:t>区</w:t>
      </w:r>
      <w:r>
        <w:rPr>
          <w:rFonts w:hint="eastAsia"/>
          <w:sz w:val="32"/>
          <w:szCs w:val="32"/>
        </w:rPr>
        <w:t>决策部署，进一步建立健全安全生产制度措施，健全完善安全生产体制机制；</w:t>
      </w:r>
      <w:r>
        <w:rPr>
          <w:rFonts w:hint="eastAsia"/>
          <w:sz w:val="32"/>
          <w:szCs w:val="32"/>
          <w:lang w:eastAsia="zh-CN"/>
        </w:rPr>
        <w:t>区</w:t>
      </w:r>
      <w:r>
        <w:rPr>
          <w:rFonts w:hint="eastAsia"/>
          <w:sz w:val="32"/>
          <w:szCs w:val="32"/>
        </w:rPr>
        <w:t>级应急管理局组建成立，应急管理工作进一步加强；认真按照“两个不放松”和“务必整出成效”总要求，统筹推进安全生产专项整治行动；严格落实安全生产责任制，安全生产责任进一步压紧压实，安全生产红线意识进一步树牢；安全生产防控效能进一步提高，产业结构调整进一步优化，安全生产系统化治理能力明显加强，本质安全水平显著提升，基层基础进一步夯实。“十三五”期间，全</w:t>
      </w:r>
      <w:r>
        <w:rPr>
          <w:rFonts w:hint="eastAsia"/>
          <w:sz w:val="32"/>
          <w:szCs w:val="32"/>
          <w:lang w:eastAsia="zh-CN"/>
        </w:rPr>
        <w:t>区</w:t>
      </w:r>
      <w:r>
        <w:rPr>
          <w:rFonts w:hint="eastAsia"/>
          <w:sz w:val="32"/>
          <w:szCs w:val="32"/>
        </w:rPr>
        <w:t>生产安全事故起数、死亡人数分别下降</w:t>
      </w:r>
      <w:r>
        <w:rPr>
          <w:rFonts w:hint="eastAsia" w:ascii="Times New Roman" w:hAnsi="Times New Roman" w:eastAsia="仿宋_GB2312" w:cs="仿宋_GB2312"/>
          <w:b w:val="0"/>
          <w:bCs w:val="0"/>
          <w:color w:val="auto"/>
          <w:kern w:val="2"/>
          <w:sz w:val="32"/>
          <w:szCs w:val="32"/>
          <w:lang w:val="en-US" w:eastAsia="zh-CN" w:bidi="ar-SA"/>
        </w:rPr>
        <w:t>79.16%、66.66%</w:t>
      </w:r>
      <w:r>
        <w:rPr>
          <w:rFonts w:hint="eastAsia" w:ascii="Times New Roman" w:hAnsi="Times New Roman" w:cs="仿宋_GB2312"/>
          <w:b w:val="0"/>
          <w:bCs w:val="0"/>
          <w:color w:val="auto"/>
          <w:kern w:val="2"/>
          <w:sz w:val="32"/>
          <w:szCs w:val="32"/>
          <w:lang w:val="en-US" w:eastAsia="zh-CN" w:bidi="ar-SA"/>
        </w:rPr>
        <w:t>，</w:t>
      </w:r>
      <w:r>
        <w:rPr>
          <w:rFonts w:hint="eastAsia"/>
          <w:sz w:val="32"/>
          <w:szCs w:val="32"/>
        </w:rPr>
        <w:t>全面完成了安全生产“十三五”规划目标任务，全</w:t>
      </w:r>
      <w:r>
        <w:rPr>
          <w:rFonts w:hint="eastAsia"/>
          <w:sz w:val="32"/>
          <w:szCs w:val="32"/>
          <w:lang w:eastAsia="zh-CN"/>
        </w:rPr>
        <w:t>区</w:t>
      </w:r>
      <w:r>
        <w:rPr>
          <w:rFonts w:hint="eastAsia"/>
          <w:sz w:val="32"/>
          <w:szCs w:val="32"/>
        </w:rPr>
        <w:t>安全生产形势总体稳定，持续好转。</w:t>
      </w:r>
      <w:bookmarkStart w:id="9" w:name="_Toc72740738"/>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应急管理体系初步形成</w:t>
      </w:r>
      <w:bookmarkEnd w:id="9"/>
      <w:r>
        <w:rPr>
          <w:rFonts w:hint="eastAsia" w:ascii="仿宋_GB2312" w:eastAsia="仿宋_GB2312"/>
          <w:b/>
          <w:bCs/>
          <w:sz w:val="32"/>
          <w:szCs w:val="32"/>
        </w:rPr>
        <w:t>。</w:t>
      </w:r>
      <w:r>
        <w:rPr>
          <w:rFonts w:hint="eastAsia" w:ascii="仿宋_GB2312" w:eastAsia="仿宋_GB2312"/>
          <w:sz w:val="32"/>
          <w:szCs w:val="32"/>
        </w:rPr>
        <w:t>完成应急管理机构改革，区级应急管理局组建成立，连云经济开发区成立全市省级园区首家应急管理局</w:t>
      </w:r>
      <w:r>
        <w:rPr>
          <w:rFonts w:hint="eastAsia"/>
          <w:sz w:val="32"/>
          <w:szCs w:val="32"/>
          <w:lang w:eastAsia="zh-CN"/>
        </w:rPr>
        <w:t>，</w:t>
      </w:r>
      <w:r>
        <w:rPr>
          <w:rFonts w:hint="eastAsia" w:ascii="仿宋_GB2312" w:eastAsia="仿宋_GB2312"/>
          <w:sz w:val="32"/>
          <w:szCs w:val="32"/>
        </w:rPr>
        <w:t>初步建立有序、顺畅、高效的应急管理运行机制，基本形成上下对应、左右协调的工作格局。完成</w:t>
      </w:r>
      <w:r>
        <w:rPr>
          <w:rFonts w:hint="eastAsia"/>
          <w:sz w:val="32"/>
          <w:szCs w:val="32"/>
          <w:lang w:eastAsia="zh-CN"/>
        </w:rPr>
        <w:t>区</w:t>
      </w:r>
      <w:r>
        <w:rPr>
          <w:rFonts w:hint="eastAsia" w:ascii="仿宋_GB2312" w:eastAsia="仿宋_GB2312"/>
          <w:sz w:val="32"/>
          <w:szCs w:val="32"/>
        </w:rPr>
        <w:t>突发事件总体应急预案和专项预案的修订并颁布实施，定期组织开展综合、专项预案演练。</w:t>
      </w:r>
      <w:bookmarkStart w:id="10" w:name="_Toc72740741"/>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rFonts w:hint="eastAsia" w:ascii="仿宋_GB2312" w:eastAsia="仿宋_GB2312"/>
          <w:sz w:val="32"/>
          <w:szCs w:val="32"/>
        </w:rPr>
      </w:pPr>
      <w:r>
        <w:rPr>
          <w:rFonts w:hint="eastAsia" w:ascii="仿宋_GB2312" w:eastAsia="仿宋_GB2312"/>
          <w:b/>
          <w:bCs/>
          <w:sz w:val="32"/>
          <w:szCs w:val="32"/>
          <w:lang w:val="en-US" w:eastAsia="zh-CN"/>
        </w:rPr>
        <w:t>3.防灾</w:t>
      </w:r>
      <w:r>
        <w:rPr>
          <w:rFonts w:ascii="仿宋_GB2312" w:eastAsia="仿宋_GB2312"/>
          <w:b/>
          <w:bCs/>
          <w:sz w:val="32"/>
          <w:szCs w:val="32"/>
        </w:rPr>
        <w:t>减灾</w:t>
      </w:r>
      <w:r>
        <w:rPr>
          <w:rFonts w:hint="eastAsia" w:ascii="仿宋_GB2312" w:eastAsia="仿宋_GB2312"/>
          <w:b/>
          <w:bCs/>
          <w:sz w:val="32"/>
          <w:szCs w:val="32"/>
        </w:rPr>
        <w:t>能力有效</w:t>
      </w:r>
      <w:r>
        <w:rPr>
          <w:rFonts w:ascii="仿宋_GB2312" w:eastAsia="仿宋_GB2312"/>
          <w:b/>
          <w:bCs/>
          <w:sz w:val="32"/>
          <w:szCs w:val="32"/>
        </w:rPr>
        <w:t>提升</w:t>
      </w:r>
      <w:r>
        <w:rPr>
          <w:rFonts w:hint="eastAsia" w:ascii="仿宋_GB2312" w:eastAsia="仿宋_GB2312"/>
          <w:b/>
          <w:bCs/>
          <w:sz w:val="32"/>
          <w:szCs w:val="32"/>
        </w:rPr>
        <w:t>。</w:t>
      </w:r>
      <w:r>
        <w:rPr>
          <w:rFonts w:hint="eastAsia" w:ascii="仿宋_GB2312" w:eastAsia="仿宋_GB2312"/>
          <w:sz w:val="32"/>
          <w:szCs w:val="32"/>
        </w:rPr>
        <w:t>完成减灾委成员组成和成员单位职责调整；稳步推进防汛抗旱、地质灾害</w:t>
      </w:r>
      <w:r>
        <w:rPr>
          <w:rFonts w:hint="eastAsia" w:ascii="Times New Roman" w:hAnsi="Times New Roman" w:eastAsia="仿宋_GB2312" w:cs="仿宋_GB2312"/>
          <w:kern w:val="2"/>
          <w:sz w:val="32"/>
          <w:szCs w:val="32"/>
          <w:lang w:val="en-US" w:eastAsia="zh-CN" w:bidi="ar-SA"/>
        </w:rPr>
        <w:t>防治</w:t>
      </w:r>
      <w:r>
        <w:rPr>
          <w:rFonts w:hint="eastAsia" w:ascii="Times New Roman" w:hAnsi="Times New Roman" w:eastAsia="仿宋_GB2312" w:cs="仿宋_GB2312"/>
          <w:b w:val="0"/>
          <w:bCs w:val="0"/>
          <w:color w:val="auto"/>
          <w:kern w:val="2"/>
          <w:sz w:val="32"/>
          <w:szCs w:val="32"/>
          <w:lang w:val="en-US" w:eastAsia="zh-CN" w:bidi="ar-SA"/>
        </w:rPr>
        <w:t>、农村危旧房改造、抗震加固等基础设施和重点工程建设；建成1个救灾物资储备库，防灾减灾救灾科普宣传教育成效显著，全区基本防灾减灾救灾知识和</w:t>
      </w:r>
      <w:r>
        <w:rPr>
          <w:rFonts w:hint="eastAsia" w:ascii="Times New Roman" w:hAnsi="Times New Roman" w:eastAsia="仿宋_GB2312" w:cs="仿宋_GB2312"/>
          <w:kern w:val="2"/>
          <w:sz w:val="32"/>
          <w:szCs w:val="32"/>
          <w:lang w:val="en-US" w:eastAsia="zh-CN" w:bidi="ar-SA"/>
        </w:rPr>
        <w:t>自救互救技能群众普及率超过70%；大力推进全国综合减灾示范社区创建工作，成功创建示范社区</w:t>
      </w:r>
      <w:r>
        <w:rPr>
          <w:rFonts w:hint="eastAsia" w:ascii="Times New Roman" w:hAnsi="Times New Roman" w:cs="仿宋_GB2312"/>
          <w:kern w:val="2"/>
          <w:sz w:val="32"/>
          <w:szCs w:val="32"/>
          <w:lang w:val="en-US" w:eastAsia="zh-CN" w:bidi="ar-SA"/>
        </w:rPr>
        <w:t>6</w:t>
      </w:r>
      <w:r>
        <w:rPr>
          <w:rFonts w:hint="eastAsia" w:ascii="Times New Roman" w:hAnsi="Times New Roman" w:eastAsia="仿宋_GB2312" w:cs="仿宋_GB2312"/>
          <w:kern w:val="2"/>
          <w:sz w:val="32"/>
          <w:szCs w:val="32"/>
          <w:lang w:val="en-US" w:eastAsia="zh-CN" w:bidi="ar-SA"/>
        </w:rPr>
        <w:t>个</w:t>
      </w:r>
      <w:r>
        <w:rPr>
          <w:rFonts w:hint="eastAsia" w:ascii="仿宋_GB2312" w:eastAsia="仿宋_GB2312"/>
          <w:sz w:val="32"/>
          <w:szCs w:val="32"/>
        </w:rPr>
        <w:t>。</w:t>
      </w:r>
    </w:p>
    <w:p>
      <w:pPr>
        <w:pageBreakBefore w:val="0"/>
        <w:widowControl w:val="0"/>
        <w:kinsoku/>
        <w:wordWrap/>
        <w:overflowPunct/>
        <w:topLinePunct w:val="0"/>
        <w:autoSpaceDE/>
        <w:autoSpaceDN/>
        <w:bidi w:val="0"/>
        <w:spacing w:line="560" w:lineRule="exact"/>
        <w:ind w:left="0" w:leftChars="0" w:firstLine="643" w:firstLineChars="200"/>
        <w:jc w:val="both"/>
        <w:textAlignment w:val="auto"/>
      </w:pPr>
      <w:r>
        <w:rPr>
          <w:rFonts w:hint="eastAsia" w:ascii="仿宋_GB2312" w:eastAsia="仿宋_GB2312"/>
          <w:b/>
          <w:bCs/>
          <w:sz w:val="32"/>
          <w:szCs w:val="32"/>
          <w:lang w:val="en-US" w:eastAsia="zh-CN"/>
        </w:rPr>
        <w:t>4.</w:t>
      </w:r>
      <w:r>
        <w:rPr>
          <w:rFonts w:hint="eastAsia" w:ascii="仿宋_GB2312" w:eastAsia="仿宋_GB2312"/>
          <w:b/>
          <w:bCs/>
          <w:sz w:val="32"/>
          <w:szCs w:val="32"/>
        </w:rPr>
        <w:t>应急救援能力明显增强</w:t>
      </w:r>
      <w:bookmarkEnd w:id="10"/>
      <w:r>
        <w:rPr>
          <w:rFonts w:hint="eastAsia" w:ascii="仿宋_GB2312" w:eastAsia="仿宋_GB2312"/>
          <w:b/>
          <w:bCs/>
          <w:sz w:val="32"/>
          <w:szCs w:val="32"/>
        </w:rPr>
        <w:t>。</w:t>
      </w:r>
      <w:r>
        <w:rPr>
          <w:rFonts w:hint="eastAsia" w:cs="仿宋_GB2312"/>
          <w:kern w:val="2"/>
          <w:sz w:val="32"/>
          <w:szCs w:val="32"/>
          <w:lang w:val="en-US" w:eastAsia="zh-CN" w:bidi="ar-SA"/>
        </w:rPr>
        <w:t>区</w:t>
      </w:r>
      <w:r>
        <w:rPr>
          <w:rFonts w:hint="default" w:ascii="Times New Roman" w:hAnsi="Times New Roman" w:eastAsia="仿宋_GB2312" w:cs="仿宋_GB2312"/>
          <w:kern w:val="2"/>
          <w:sz w:val="32"/>
          <w:szCs w:val="32"/>
          <w:lang w:val="en-US" w:eastAsia="zh-CN" w:bidi="ar-SA"/>
        </w:rPr>
        <w:t>消防</w:t>
      </w:r>
      <w:r>
        <w:rPr>
          <w:rFonts w:hint="eastAsia" w:ascii="Times New Roman" w:hAnsi="Times New Roman" w:cs="仿宋_GB2312"/>
          <w:kern w:val="2"/>
          <w:sz w:val="32"/>
          <w:szCs w:val="32"/>
          <w:lang w:val="en-US" w:eastAsia="zh-CN" w:bidi="ar-SA"/>
        </w:rPr>
        <w:t>救援</w:t>
      </w:r>
      <w:r>
        <w:rPr>
          <w:rFonts w:hint="default" w:ascii="Times New Roman" w:hAnsi="Times New Roman" w:eastAsia="仿宋_GB2312" w:cs="仿宋_GB2312"/>
          <w:kern w:val="2"/>
          <w:sz w:val="32"/>
          <w:szCs w:val="32"/>
          <w:lang w:val="en-US" w:eastAsia="zh-CN" w:bidi="ar-SA"/>
        </w:rPr>
        <w:t>队伍</w:t>
      </w:r>
      <w:r>
        <w:rPr>
          <w:rFonts w:hint="eastAsia" w:ascii="Times New Roman" w:hAnsi="Times New Roman" w:cs="仿宋_GB2312"/>
          <w:kern w:val="2"/>
          <w:sz w:val="32"/>
          <w:szCs w:val="32"/>
          <w:lang w:val="en-US" w:eastAsia="zh-CN" w:bidi="ar-SA"/>
        </w:rPr>
        <w:t>、</w:t>
      </w:r>
      <w:r>
        <w:rPr>
          <w:rFonts w:hint="default" w:ascii="Times New Roman" w:hAnsi="Times New Roman" w:eastAsia="仿宋_GB2312" w:cs="仿宋_GB2312"/>
          <w:kern w:val="2"/>
          <w:sz w:val="32"/>
          <w:szCs w:val="32"/>
          <w:lang w:val="en-US" w:eastAsia="zh-CN" w:bidi="ar-SA"/>
        </w:rPr>
        <w:t>乡街队伍、综合救援队伍、城市专业救援队、巡防队伍、区</w:t>
      </w:r>
      <w:r>
        <w:rPr>
          <w:rFonts w:hint="default" w:ascii="Times New Roman" w:hAnsi="Times New Roman" w:eastAsia="仿宋_GB2312" w:cs="仿宋_GB2312"/>
          <w:b w:val="0"/>
          <w:bCs w:val="0"/>
          <w:color w:val="auto"/>
          <w:kern w:val="2"/>
          <w:sz w:val="32"/>
          <w:szCs w:val="32"/>
          <w:lang w:val="en-US" w:eastAsia="zh-CN" w:bidi="ar-SA"/>
        </w:rPr>
        <w:t>机关预备队等</w:t>
      </w:r>
      <w:r>
        <w:rPr>
          <w:rFonts w:hint="eastAsia" w:ascii="Times New Roman" w:hAnsi="Times New Roman" w:eastAsia="仿宋_GB2312" w:cs="仿宋_GB2312"/>
          <w:b w:val="0"/>
          <w:bCs w:val="0"/>
          <w:color w:val="auto"/>
          <w:kern w:val="2"/>
          <w:sz w:val="32"/>
          <w:szCs w:val="32"/>
          <w:lang w:val="en-US" w:eastAsia="zh-CN" w:bidi="ar-SA"/>
        </w:rPr>
        <w:t>共</w:t>
      </w:r>
      <w:r>
        <w:rPr>
          <w:rFonts w:hint="default" w:ascii="Times New Roman" w:hAnsi="Times New Roman" w:eastAsia="仿宋_GB2312" w:cs="仿宋_GB2312"/>
          <w:b w:val="0"/>
          <w:bCs w:val="0"/>
          <w:color w:val="auto"/>
          <w:kern w:val="2"/>
          <w:sz w:val="32"/>
          <w:szCs w:val="32"/>
          <w:lang w:val="en-US" w:eastAsia="zh-CN" w:bidi="ar-SA"/>
        </w:rPr>
        <w:t>31支1620人</w:t>
      </w:r>
      <w:r>
        <w:rPr>
          <w:rFonts w:hint="eastAsia" w:ascii="Times New Roman" w:hAnsi="Times New Roman" w:eastAsia="仿宋_GB2312" w:cs="仿宋_GB2312"/>
          <w:b w:val="0"/>
          <w:bCs w:val="0"/>
          <w:color w:val="auto"/>
          <w:kern w:val="2"/>
          <w:sz w:val="32"/>
          <w:szCs w:val="32"/>
          <w:lang w:val="en-US" w:eastAsia="zh-CN" w:bidi="ar-SA"/>
        </w:rPr>
        <w:t>，</w:t>
      </w:r>
      <w:r>
        <w:rPr>
          <w:rFonts w:hint="default" w:ascii="Times New Roman" w:hAnsi="Times New Roman" w:eastAsia="仿宋_GB2312" w:cs="仿宋_GB2312"/>
          <w:b w:val="0"/>
          <w:bCs w:val="0"/>
          <w:color w:val="auto"/>
          <w:kern w:val="2"/>
          <w:sz w:val="32"/>
          <w:szCs w:val="32"/>
          <w:lang w:val="en-US" w:eastAsia="zh-CN" w:bidi="ar-SA"/>
        </w:rPr>
        <w:t>整合社会</w:t>
      </w:r>
      <w:r>
        <w:rPr>
          <w:rFonts w:hint="eastAsia" w:ascii="Times New Roman" w:hAnsi="Times New Roman" w:eastAsia="仿宋_GB2312" w:cs="仿宋_GB2312"/>
          <w:b w:val="0"/>
          <w:bCs w:val="0"/>
          <w:color w:val="auto"/>
          <w:kern w:val="2"/>
          <w:sz w:val="32"/>
          <w:szCs w:val="32"/>
          <w:lang w:val="en-US" w:eastAsia="zh-CN" w:bidi="ar-SA"/>
        </w:rPr>
        <w:t>志愿</w:t>
      </w:r>
      <w:r>
        <w:rPr>
          <w:rFonts w:hint="default" w:ascii="Times New Roman" w:hAnsi="Times New Roman" w:eastAsia="仿宋_GB2312" w:cs="仿宋_GB2312"/>
          <w:b w:val="0"/>
          <w:bCs w:val="0"/>
          <w:color w:val="auto"/>
          <w:kern w:val="2"/>
          <w:sz w:val="32"/>
          <w:szCs w:val="32"/>
          <w:lang w:val="en-US" w:eastAsia="zh-CN" w:bidi="ar-SA"/>
        </w:rPr>
        <w:t>应急救援力量，</w:t>
      </w:r>
      <w:r>
        <w:rPr>
          <w:rFonts w:hint="eastAsia" w:ascii="Times New Roman" w:hAnsi="Times New Roman" w:eastAsia="仿宋_GB2312" w:cs="仿宋_GB2312"/>
          <w:b w:val="0"/>
          <w:bCs w:val="0"/>
          <w:color w:val="auto"/>
          <w:kern w:val="2"/>
          <w:sz w:val="32"/>
          <w:szCs w:val="32"/>
          <w:lang w:val="en-US" w:eastAsia="zh-CN" w:bidi="ar-SA"/>
        </w:rPr>
        <w:t>与周边县区应急救援力量</w:t>
      </w:r>
      <w:r>
        <w:rPr>
          <w:rFonts w:hint="eastAsia" w:ascii="Times New Roman" w:hAnsi="Times New Roman" w:eastAsia="仿宋_GB2312" w:cs="仿宋_GB2312"/>
          <w:kern w:val="2"/>
          <w:sz w:val="32"/>
          <w:szCs w:val="32"/>
          <w:lang w:val="en-US" w:eastAsia="zh-CN" w:bidi="ar-SA"/>
        </w:rPr>
        <w:t>建立应急联动机制</w:t>
      </w:r>
      <w:r>
        <w:rPr>
          <w:rFonts w:hint="default" w:ascii="Times New Roman" w:hAnsi="Times New Roman" w:eastAsia="仿宋_GB2312" w:cs="仿宋_GB2312"/>
          <w:kern w:val="2"/>
          <w:sz w:val="32"/>
          <w:szCs w:val="32"/>
          <w:lang w:val="en-US" w:eastAsia="zh-CN" w:bidi="ar-SA"/>
        </w:rPr>
        <w:t>，</w:t>
      </w:r>
      <w:r>
        <w:rPr>
          <w:rFonts w:hint="eastAsia" w:ascii="仿宋_GB2312" w:eastAsia="仿宋_GB2312"/>
          <w:sz w:val="32"/>
          <w:szCs w:val="32"/>
        </w:rPr>
        <w:t>鼓励重点企业组建应急救援队伍，初步形成以</w:t>
      </w:r>
      <w:r>
        <w:rPr>
          <w:rFonts w:hint="eastAsia"/>
          <w:sz w:val="32"/>
          <w:szCs w:val="32"/>
          <w:lang w:eastAsia="zh-CN"/>
        </w:rPr>
        <w:t>区</w:t>
      </w:r>
      <w:r>
        <w:rPr>
          <w:rFonts w:hint="eastAsia" w:ascii="仿宋_GB2312" w:eastAsia="仿宋_GB2312"/>
          <w:sz w:val="32"/>
          <w:szCs w:val="32"/>
        </w:rPr>
        <w:t>消防救援队伍为主力、专业应急力量为协同、社会应急力量为辅助的应急救援力量体系。</w:t>
      </w:r>
      <w:r>
        <w:rPr>
          <w:rFonts w:hint="default" w:ascii="Times New Roman" w:hAnsi="Times New Roman" w:eastAsia="仿宋_GB2312" w:cs="仿宋_GB2312"/>
          <w:kern w:val="2"/>
          <w:sz w:val="32"/>
          <w:szCs w:val="32"/>
          <w:lang w:val="en-US" w:eastAsia="zh-CN" w:bidi="ar-SA"/>
        </w:rPr>
        <w:t>严格执行应急值班值守，密切关注安全生产和自然灾害等突发事件信息，确保发生险情及时高效处置。</w:t>
      </w:r>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11" w:name="_Toc40947946"/>
      <w:bookmarkStart w:id="12" w:name="_Toc78467527"/>
      <w:bookmarkStart w:id="13" w:name="_Toc3997"/>
      <w:r>
        <w:rPr>
          <w:rFonts w:hint="eastAsia" w:ascii="Times New Roman" w:hAnsi="Times New Roman" w:cs="Times New Roman"/>
          <w:b w:val="0"/>
          <w:bCs w:val="0"/>
          <w:color w:val="auto"/>
          <w:kern w:val="2"/>
          <w:szCs w:val="30"/>
        </w:rPr>
        <w:t>（二）“十四五”时期面临的形势</w:t>
      </w:r>
      <w:bookmarkEnd w:id="11"/>
      <w:r>
        <w:rPr>
          <w:rFonts w:hint="eastAsia" w:ascii="Times New Roman" w:hAnsi="Times New Roman" w:cs="Times New Roman"/>
          <w:b w:val="0"/>
          <w:bCs w:val="0"/>
          <w:color w:val="auto"/>
          <w:kern w:val="2"/>
          <w:szCs w:val="30"/>
        </w:rPr>
        <w:t>与</w:t>
      </w:r>
      <w:r>
        <w:rPr>
          <w:rFonts w:ascii="Times New Roman" w:hAnsi="Times New Roman" w:cs="Times New Roman"/>
          <w:b w:val="0"/>
          <w:bCs w:val="0"/>
          <w:color w:val="auto"/>
          <w:kern w:val="2"/>
          <w:szCs w:val="30"/>
        </w:rPr>
        <w:t>挑战</w:t>
      </w:r>
      <w:bookmarkEnd w:id="12"/>
      <w:bookmarkEnd w:id="13"/>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sz w:val="32"/>
          <w:szCs w:val="32"/>
        </w:rPr>
      </w:pPr>
      <w:r>
        <w:rPr>
          <w:rFonts w:hint="eastAsia"/>
          <w:b/>
          <w:color w:val="auto"/>
          <w:sz w:val="32"/>
          <w:szCs w:val="32"/>
          <w:lang w:val="en-US" w:eastAsia="zh-CN"/>
        </w:rPr>
        <w:t>1.</w:t>
      </w:r>
      <w:r>
        <w:rPr>
          <w:rFonts w:hint="eastAsia"/>
          <w:b/>
          <w:color w:val="auto"/>
          <w:sz w:val="32"/>
          <w:szCs w:val="32"/>
        </w:rPr>
        <w:t>制约</w:t>
      </w:r>
      <w:r>
        <w:rPr>
          <w:b/>
          <w:color w:val="auto"/>
          <w:sz w:val="32"/>
          <w:szCs w:val="32"/>
        </w:rPr>
        <w:t>安全发展的</w:t>
      </w:r>
      <w:r>
        <w:rPr>
          <w:rFonts w:hint="eastAsia"/>
          <w:b/>
          <w:color w:val="auto"/>
          <w:sz w:val="32"/>
          <w:szCs w:val="32"/>
        </w:rPr>
        <w:t>问题短板尚未</w:t>
      </w:r>
      <w:r>
        <w:rPr>
          <w:b/>
          <w:color w:val="auto"/>
          <w:sz w:val="32"/>
          <w:szCs w:val="32"/>
        </w:rPr>
        <w:t>根除</w:t>
      </w:r>
      <w:r>
        <w:rPr>
          <w:rFonts w:hint="eastAsia"/>
          <w:b/>
          <w:color w:val="auto"/>
          <w:sz w:val="32"/>
          <w:szCs w:val="32"/>
        </w:rPr>
        <w:t>。</w:t>
      </w:r>
      <w:r>
        <w:rPr>
          <w:rFonts w:hint="eastAsia"/>
          <w:color w:val="auto"/>
          <w:sz w:val="32"/>
          <w:szCs w:val="32"/>
        </w:rPr>
        <w:t>部分高危行业产业结构和布局仍需优化，应急管理能力存在短板弱项、企业安全意识、法治意识不强等深层次问题没有得到根本解决，企业本质安全水平仍然较低，安全生产主体责任仍需压实，安全隐患排查不深入、治理不彻底问题突出，安全生产基础工作有待进一步加强。</w:t>
      </w:r>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sz w:val="32"/>
          <w:szCs w:val="32"/>
        </w:rPr>
      </w:pPr>
      <w:r>
        <w:rPr>
          <w:rFonts w:hint="eastAsia"/>
          <w:b/>
          <w:color w:val="auto"/>
          <w:sz w:val="32"/>
          <w:szCs w:val="32"/>
          <w:lang w:val="en-US" w:eastAsia="zh-CN"/>
        </w:rPr>
        <w:t>2.</w:t>
      </w:r>
      <w:r>
        <w:rPr>
          <w:rFonts w:hint="eastAsia"/>
          <w:b/>
          <w:color w:val="auto"/>
          <w:sz w:val="32"/>
          <w:szCs w:val="32"/>
        </w:rPr>
        <w:t>经济社会快速发展带来新旧安全风险交织叠加</w:t>
      </w:r>
      <w:r>
        <w:rPr>
          <w:b/>
          <w:color w:val="auto"/>
          <w:sz w:val="32"/>
          <w:szCs w:val="32"/>
        </w:rPr>
        <w:t>。</w:t>
      </w:r>
      <w:r>
        <w:rPr>
          <w:rFonts w:hint="eastAsia"/>
          <w:color w:val="auto"/>
          <w:sz w:val="32"/>
          <w:szCs w:val="32"/>
        </w:rPr>
        <w:t>随着全</w:t>
      </w:r>
      <w:r>
        <w:rPr>
          <w:rFonts w:hint="eastAsia"/>
          <w:color w:val="auto"/>
          <w:sz w:val="32"/>
          <w:szCs w:val="32"/>
          <w:lang w:eastAsia="zh-CN"/>
        </w:rPr>
        <w:t>区</w:t>
      </w:r>
      <w:r>
        <w:rPr>
          <w:rFonts w:hint="eastAsia"/>
          <w:color w:val="auto"/>
          <w:sz w:val="32"/>
          <w:szCs w:val="32"/>
        </w:rPr>
        <w:t>工业化、城镇化的持续推进，危险化学品、交通运输、城镇燃气、</w:t>
      </w:r>
      <w:r>
        <w:rPr>
          <w:color w:val="auto"/>
          <w:sz w:val="32"/>
          <w:szCs w:val="32"/>
        </w:rPr>
        <w:t>海洋渔业</w:t>
      </w:r>
      <w:r>
        <w:rPr>
          <w:rFonts w:hint="eastAsia"/>
          <w:color w:val="auto"/>
          <w:sz w:val="32"/>
          <w:szCs w:val="32"/>
        </w:rPr>
        <w:t>和建筑施工等行业领域的安全风险因素依然突出，危险货物道路运输事故时有发生，建筑施工事故仍处于多发期，乡</w:t>
      </w:r>
      <w:r>
        <w:rPr>
          <w:rFonts w:hint="eastAsia"/>
          <w:color w:val="auto"/>
          <w:sz w:val="32"/>
          <w:szCs w:val="32"/>
          <w:lang w:eastAsia="zh-CN"/>
        </w:rPr>
        <w:t>街</w:t>
      </w:r>
      <w:r>
        <w:rPr>
          <w:rFonts w:hint="eastAsia"/>
          <w:color w:val="auto"/>
          <w:sz w:val="32"/>
          <w:szCs w:val="32"/>
        </w:rPr>
        <w:t>小微企业、出租厂房等隐蔽性较高的场所工矿商贸事故隐患突出。大型商业场所、城市地下管网等安全风险更加集聚。新工艺、新装备、新材料、新技术、新业态带来的不可知、不可控的安全风险大量出现，传统行业风险与新兴行业风险交织叠加、错综复杂，安全生产风险的分散性、隐蔽性、流动性和关联性明显增加，导致事故成因多样化、事故类型复合化。</w:t>
      </w:r>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sz w:val="32"/>
          <w:szCs w:val="32"/>
        </w:rPr>
      </w:pPr>
      <w:r>
        <w:rPr>
          <w:rFonts w:hint="eastAsia"/>
          <w:b/>
          <w:color w:val="auto"/>
          <w:sz w:val="32"/>
          <w:szCs w:val="32"/>
          <w:lang w:val="en-US" w:eastAsia="zh-CN"/>
        </w:rPr>
        <w:t>3.</w:t>
      </w:r>
      <w:r>
        <w:rPr>
          <w:rFonts w:hint="eastAsia"/>
          <w:b/>
          <w:color w:val="auto"/>
          <w:sz w:val="32"/>
          <w:szCs w:val="32"/>
        </w:rPr>
        <w:t>安全监管能力与新形势新任务不相适应</w:t>
      </w:r>
      <w:r>
        <w:rPr>
          <w:b/>
          <w:color w:val="auto"/>
          <w:sz w:val="32"/>
          <w:szCs w:val="32"/>
        </w:rPr>
        <w:t>。</w:t>
      </w:r>
      <w:r>
        <w:rPr>
          <w:color w:val="auto"/>
          <w:sz w:val="32"/>
          <w:szCs w:val="32"/>
        </w:rPr>
        <w:t>在加快构建国内大循环为主体</w:t>
      </w:r>
      <w:r>
        <w:rPr>
          <w:rFonts w:hint="eastAsia"/>
          <w:color w:val="auto"/>
          <w:sz w:val="32"/>
          <w:szCs w:val="32"/>
        </w:rPr>
        <w:t>、</w:t>
      </w:r>
      <w:r>
        <w:rPr>
          <w:color w:val="auto"/>
          <w:sz w:val="32"/>
          <w:szCs w:val="32"/>
        </w:rPr>
        <w:t>国内国际双循环相互促进的新发展格局下</w:t>
      </w:r>
      <w:r>
        <w:rPr>
          <w:rFonts w:hint="eastAsia"/>
          <w:color w:val="auto"/>
          <w:sz w:val="32"/>
          <w:szCs w:val="32"/>
        </w:rPr>
        <w:t>，</w:t>
      </w:r>
      <w:r>
        <w:rPr>
          <w:color w:val="auto"/>
          <w:sz w:val="32"/>
          <w:szCs w:val="32"/>
        </w:rPr>
        <w:t>各类消费增长强劲</w:t>
      </w:r>
      <w:r>
        <w:rPr>
          <w:rFonts w:hint="eastAsia"/>
          <w:color w:val="auto"/>
          <w:sz w:val="32"/>
          <w:szCs w:val="32"/>
        </w:rPr>
        <w:t>，</w:t>
      </w:r>
      <w:r>
        <w:rPr>
          <w:color w:val="auto"/>
          <w:sz w:val="32"/>
          <w:szCs w:val="32"/>
        </w:rPr>
        <w:t>道路运输</w:t>
      </w:r>
      <w:r>
        <w:rPr>
          <w:rFonts w:hint="eastAsia"/>
          <w:color w:val="auto"/>
          <w:sz w:val="32"/>
          <w:szCs w:val="32"/>
        </w:rPr>
        <w:t>、</w:t>
      </w:r>
      <w:r>
        <w:rPr>
          <w:rFonts w:hint="eastAsia"/>
          <w:color w:val="auto"/>
          <w:sz w:val="32"/>
          <w:szCs w:val="32"/>
          <w:lang w:eastAsia="zh-CN"/>
        </w:rPr>
        <w:t>海洋渔业、</w:t>
      </w:r>
      <w:r>
        <w:rPr>
          <w:color w:val="auto"/>
          <w:sz w:val="32"/>
          <w:szCs w:val="32"/>
        </w:rPr>
        <w:t>建筑施工</w:t>
      </w:r>
      <w:r>
        <w:rPr>
          <w:rFonts w:hint="eastAsia"/>
          <w:color w:val="auto"/>
          <w:sz w:val="32"/>
          <w:szCs w:val="32"/>
        </w:rPr>
        <w:t>、</w:t>
      </w:r>
      <w:r>
        <w:rPr>
          <w:color w:val="auto"/>
          <w:sz w:val="32"/>
          <w:szCs w:val="32"/>
        </w:rPr>
        <w:t>旅游</w:t>
      </w:r>
      <w:r>
        <w:rPr>
          <w:rFonts w:hint="eastAsia"/>
          <w:color w:val="auto"/>
          <w:sz w:val="32"/>
          <w:szCs w:val="32"/>
        </w:rPr>
        <w:t>、</w:t>
      </w:r>
      <w:r>
        <w:rPr>
          <w:color w:val="auto"/>
          <w:sz w:val="32"/>
          <w:szCs w:val="32"/>
        </w:rPr>
        <w:t>消防安全防范压力增大</w:t>
      </w:r>
      <w:r>
        <w:rPr>
          <w:rFonts w:hint="eastAsia"/>
          <w:color w:val="auto"/>
          <w:sz w:val="32"/>
          <w:szCs w:val="32"/>
        </w:rPr>
        <w:t>。安全监管监察能力与新发展</w:t>
      </w:r>
      <w:r>
        <w:rPr>
          <w:color w:val="auto"/>
          <w:sz w:val="32"/>
          <w:szCs w:val="32"/>
        </w:rPr>
        <w:t>格局</w:t>
      </w:r>
      <w:r>
        <w:rPr>
          <w:rFonts w:hint="eastAsia"/>
          <w:color w:val="auto"/>
          <w:sz w:val="32"/>
          <w:szCs w:val="32"/>
        </w:rPr>
        <w:t>不相适应，安全监管执法的规范化、精准化</w:t>
      </w:r>
      <w:r>
        <w:rPr>
          <w:color w:val="auto"/>
          <w:sz w:val="32"/>
          <w:szCs w:val="32"/>
        </w:rPr>
        <w:t>、</w:t>
      </w:r>
      <w:r>
        <w:rPr>
          <w:rFonts w:hint="eastAsia"/>
          <w:color w:val="auto"/>
          <w:sz w:val="32"/>
          <w:szCs w:val="32"/>
        </w:rPr>
        <w:t>权威性亟待增强。基层安全监管力量、专业素质与治理体系现代化的要求仍有较大差距。科技</w:t>
      </w:r>
      <w:r>
        <w:rPr>
          <w:color w:val="auto"/>
          <w:sz w:val="32"/>
          <w:szCs w:val="32"/>
        </w:rPr>
        <w:t>信息化</w:t>
      </w:r>
      <w:r>
        <w:rPr>
          <w:rFonts w:hint="eastAsia"/>
          <w:color w:val="auto"/>
          <w:sz w:val="32"/>
          <w:szCs w:val="32"/>
        </w:rPr>
        <w:t>应用</w:t>
      </w:r>
      <w:r>
        <w:rPr>
          <w:color w:val="auto"/>
          <w:sz w:val="32"/>
          <w:szCs w:val="32"/>
        </w:rPr>
        <w:t>基础薄弱，对安全生产监管</w:t>
      </w:r>
      <w:r>
        <w:rPr>
          <w:rFonts w:hint="eastAsia"/>
          <w:color w:val="auto"/>
          <w:sz w:val="32"/>
          <w:szCs w:val="32"/>
          <w:lang w:eastAsia="zh-CN"/>
        </w:rPr>
        <w:t>、应急管理</w:t>
      </w:r>
      <w:r>
        <w:rPr>
          <w:color w:val="auto"/>
          <w:sz w:val="32"/>
          <w:szCs w:val="32"/>
        </w:rPr>
        <w:t>支撑</w:t>
      </w:r>
      <w:r>
        <w:rPr>
          <w:rFonts w:hint="eastAsia"/>
          <w:color w:val="auto"/>
          <w:sz w:val="32"/>
          <w:szCs w:val="32"/>
        </w:rPr>
        <w:t>能力有待</w:t>
      </w:r>
      <w:r>
        <w:rPr>
          <w:color w:val="auto"/>
          <w:sz w:val="32"/>
          <w:szCs w:val="32"/>
        </w:rPr>
        <w:t>进一步</w:t>
      </w:r>
      <w:r>
        <w:rPr>
          <w:rFonts w:hint="eastAsia"/>
          <w:color w:val="auto"/>
          <w:sz w:val="32"/>
          <w:szCs w:val="32"/>
        </w:rPr>
        <w:t>提升</w:t>
      </w:r>
      <w:r>
        <w:rPr>
          <w:color w:val="auto"/>
          <w:sz w:val="32"/>
          <w:szCs w:val="32"/>
        </w:rPr>
        <w:t>。</w:t>
      </w:r>
    </w:p>
    <w:p>
      <w:pPr>
        <w:pageBreakBefore w:val="0"/>
        <w:widowControl w:val="0"/>
        <w:kinsoku/>
        <w:wordWrap/>
        <w:overflowPunct/>
        <w:topLinePunct w:val="0"/>
        <w:autoSpaceDE/>
        <w:autoSpaceDN/>
        <w:bidi w:val="0"/>
        <w:spacing w:line="560" w:lineRule="exact"/>
        <w:ind w:firstLine="643" w:firstLineChars="200"/>
        <w:textAlignment w:val="auto"/>
      </w:pPr>
      <w:r>
        <w:rPr>
          <w:rFonts w:hint="eastAsia" w:hAnsi="仿宋_GB2312" w:cs="仿宋_GB2312"/>
          <w:b/>
          <w:bCs/>
          <w:color w:val="0D0D0D"/>
          <w:sz w:val="32"/>
          <w:szCs w:val="32"/>
          <w:lang w:val="en-US" w:eastAsia="zh-CN"/>
        </w:rPr>
        <w:t>4.</w:t>
      </w:r>
      <w:r>
        <w:rPr>
          <w:rFonts w:hint="eastAsia" w:ascii="仿宋_GB2312" w:hAnsi="仿宋_GB2312" w:eastAsia="仿宋_GB2312" w:cs="仿宋_GB2312"/>
          <w:b/>
          <w:bCs/>
          <w:color w:val="0D0D0D"/>
          <w:sz w:val="32"/>
          <w:szCs w:val="32"/>
        </w:rPr>
        <w:t>应急</w:t>
      </w:r>
      <w:r>
        <w:rPr>
          <w:rFonts w:ascii="仿宋_GB2312" w:hAnsi="仿宋_GB2312" w:eastAsia="仿宋_GB2312" w:cs="仿宋_GB2312"/>
          <w:b/>
          <w:bCs/>
          <w:color w:val="0D0D0D"/>
          <w:sz w:val="32"/>
          <w:szCs w:val="32"/>
        </w:rPr>
        <w:t>管理</w:t>
      </w:r>
      <w:r>
        <w:rPr>
          <w:rFonts w:hint="eastAsia" w:ascii="仿宋_GB2312" w:hAnsi="仿宋_GB2312" w:eastAsia="仿宋_GB2312" w:cs="仿宋_GB2312"/>
          <w:b/>
          <w:bCs/>
          <w:color w:val="0D0D0D"/>
          <w:sz w:val="32"/>
          <w:szCs w:val="32"/>
        </w:rPr>
        <w:t>基础</w:t>
      </w:r>
      <w:r>
        <w:rPr>
          <w:rFonts w:ascii="仿宋_GB2312" w:hAnsi="仿宋_GB2312" w:eastAsia="仿宋_GB2312" w:cs="仿宋_GB2312"/>
          <w:b/>
          <w:bCs/>
          <w:color w:val="0D0D0D"/>
          <w:sz w:val="32"/>
          <w:szCs w:val="32"/>
        </w:rPr>
        <w:t>依然薄弱</w:t>
      </w:r>
      <w:r>
        <w:rPr>
          <w:rFonts w:hint="eastAsia" w:ascii="仿宋_GB2312" w:hAnsi="仿宋_GB2312" w:eastAsia="仿宋_GB2312" w:cs="仿宋_GB2312"/>
          <w:b/>
          <w:bCs/>
          <w:color w:val="0D0D0D"/>
          <w:sz w:val="32"/>
          <w:szCs w:val="32"/>
        </w:rPr>
        <w:t>。</w:t>
      </w:r>
      <w:r>
        <w:rPr>
          <w:rFonts w:hint="eastAsia" w:ascii="仿宋_GB2312" w:eastAsia="仿宋_GB2312"/>
          <w:sz w:val="32"/>
          <w:szCs w:val="32"/>
        </w:rPr>
        <w:t>应急管理体制机制还处于完善阶段，应急资源和力量尚未实现有机融合，高效指挥协调机制尚未形成。应急预案质量有待提升，预案之间的衔接与预案演练亟待加强。应急物资储备缺乏统筹，仓储布局不合理、储备形式单一、维护保养不及时等问题突出，物资调拨使用缺乏有效联动和信息化支撑。应急救援力量保障机制不健全，建设标准缺乏、技能培训不够、应急演练不足。应急物资、紧急运输、应急通信、科技支撑等保障还不完善，无法满足应对多灾巨灾复杂情景的需要，城市抗风险韧性不足。社会公众安全意识、安全知识和技能培训仍需进一步加强，社会整体应急能力偏弱，全社会资源力量参与应急管理工作的格局尚未形成。</w:t>
      </w:r>
    </w:p>
    <w:p>
      <w:pPr>
        <w:pStyle w:val="3"/>
        <w:pageBreakBefore w:val="0"/>
        <w:widowControl w:val="0"/>
        <w:kinsoku/>
        <w:wordWrap/>
        <w:overflowPunct/>
        <w:topLinePunct w:val="0"/>
        <w:autoSpaceDE/>
        <w:autoSpaceDN/>
        <w:bidi w:val="0"/>
        <w:spacing w:beforeLines="0" w:afterLines="0" w:line="560" w:lineRule="exact"/>
        <w:ind w:left="0" w:leftChars="0" w:firstLine="640" w:firstLineChars="200"/>
        <w:jc w:val="both"/>
        <w:textAlignment w:val="auto"/>
        <w:rPr>
          <w:rFonts w:hint="eastAsia"/>
          <w:b w:val="0"/>
          <w:bCs w:val="0"/>
          <w:color w:val="auto"/>
          <w:sz w:val="32"/>
          <w:szCs w:val="32"/>
        </w:rPr>
      </w:pPr>
      <w:bookmarkStart w:id="14" w:name="_Toc17227"/>
      <w:bookmarkStart w:id="15" w:name="_Toc40947947"/>
      <w:bookmarkStart w:id="16" w:name="_Toc78467528"/>
      <w:r>
        <w:rPr>
          <w:rFonts w:hint="eastAsia"/>
          <w:b w:val="0"/>
          <w:bCs w:val="0"/>
          <w:color w:val="auto"/>
          <w:sz w:val="32"/>
          <w:szCs w:val="32"/>
        </w:rPr>
        <w:t>二、指导思想、基本原则和规划目标</w:t>
      </w:r>
      <w:bookmarkEnd w:id="14"/>
      <w:bookmarkEnd w:id="15"/>
      <w:bookmarkEnd w:id="16"/>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17" w:name="_Toc78467529"/>
      <w:bookmarkStart w:id="18" w:name="_Toc21694"/>
      <w:bookmarkStart w:id="19" w:name="_Toc40947948"/>
      <w:r>
        <w:rPr>
          <w:rFonts w:hint="eastAsia" w:ascii="Times New Roman" w:hAnsi="Times New Roman" w:cs="Times New Roman"/>
          <w:b w:val="0"/>
          <w:bCs w:val="0"/>
          <w:color w:val="auto"/>
          <w:kern w:val="2"/>
          <w:szCs w:val="30"/>
        </w:rPr>
        <w:t>（一）指导思想</w:t>
      </w:r>
      <w:bookmarkEnd w:id="17"/>
      <w:bookmarkEnd w:id="18"/>
      <w:bookmarkEnd w:id="19"/>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以习近平新时代中国特色社会主义思想为指导，全面贯彻党的十九大和十九届二中、三中、四中、五中、六中全会精神，深入学习贯彻习近平总书记关于安全生产</w:t>
      </w:r>
      <w:r>
        <w:rPr>
          <w:rFonts w:hint="eastAsia"/>
          <w:color w:val="auto"/>
          <w:sz w:val="32"/>
          <w:szCs w:val="32"/>
          <w:lang w:eastAsia="zh-CN"/>
        </w:rPr>
        <w:t>、应急管理</w:t>
      </w:r>
      <w:r>
        <w:rPr>
          <w:rFonts w:hint="eastAsia"/>
          <w:color w:val="auto"/>
          <w:sz w:val="32"/>
          <w:szCs w:val="32"/>
        </w:rPr>
        <w:t>系列重要论述和对江苏安全生产工作的重要指示批示精神，坚决落实中央和省系列决策部署，立足新发展阶段，贯彻新发展理念，构建新发展格局，坚持以人民为中心，牢固树立安全发展理念，强化底线思维和红线意识，深入推进安全生产领域改革发展, 深化源头治理、系统治理和综合治理，加快产业转型升级，按照“两个不放松”和“务必整出成效”的总要求，持续深化安全生产专项整治，全力防范化解安全生产系统性风险，全面提升本质安全水平，</w:t>
      </w:r>
      <w:r>
        <w:rPr>
          <w:rFonts w:hint="eastAsia" w:ascii="仿宋_GB2312" w:eastAsia="仿宋_GB2312"/>
          <w:sz w:val="32"/>
          <w:szCs w:val="32"/>
        </w:rPr>
        <w:t>提升灾害事故防御水平</w:t>
      </w:r>
      <w:r>
        <w:rPr>
          <w:rFonts w:hint="eastAsia"/>
          <w:sz w:val="32"/>
          <w:szCs w:val="32"/>
          <w:lang w:eastAsia="zh-CN"/>
        </w:rPr>
        <w:t>和</w:t>
      </w:r>
      <w:r>
        <w:rPr>
          <w:rFonts w:hint="eastAsia" w:ascii="仿宋_GB2312" w:eastAsia="仿宋_GB2312"/>
          <w:sz w:val="32"/>
          <w:szCs w:val="32"/>
        </w:rPr>
        <w:t>突发事件应急能力</w:t>
      </w:r>
      <w:r>
        <w:rPr>
          <w:rFonts w:hint="eastAsia"/>
          <w:sz w:val="32"/>
          <w:szCs w:val="32"/>
          <w:lang w:eastAsia="zh-CN"/>
        </w:rPr>
        <w:t>，</w:t>
      </w:r>
      <w:r>
        <w:rPr>
          <w:rFonts w:hint="eastAsia"/>
          <w:color w:val="auto"/>
          <w:sz w:val="32"/>
          <w:szCs w:val="32"/>
        </w:rPr>
        <w:t>扎实推进安全生产</w:t>
      </w:r>
      <w:r>
        <w:rPr>
          <w:rFonts w:hint="eastAsia"/>
          <w:color w:val="auto"/>
          <w:sz w:val="32"/>
          <w:szCs w:val="32"/>
          <w:lang w:eastAsia="zh-CN"/>
        </w:rPr>
        <w:t>和应急管理</w:t>
      </w:r>
      <w:r>
        <w:rPr>
          <w:rFonts w:hint="eastAsia"/>
          <w:color w:val="auto"/>
          <w:sz w:val="32"/>
          <w:szCs w:val="32"/>
        </w:rPr>
        <w:t>治理体系和治理能力现代化，为连云</w:t>
      </w:r>
      <w:r>
        <w:rPr>
          <w:rFonts w:hint="eastAsia"/>
          <w:color w:val="auto"/>
          <w:sz w:val="32"/>
          <w:szCs w:val="32"/>
          <w:lang w:eastAsia="zh-CN"/>
        </w:rPr>
        <w:t>区</w:t>
      </w:r>
      <w:r>
        <w:rPr>
          <w:rFonts w:hint="eastAsia"/>
          <w:color w:val="auto"/>
          <w:sz w:val="32"/>
          <w:szCs w:val="32"/>
        </w:rPr>
        <w:t>新时代</w:t>
      </w:r>
      <w:r>
        <w:rPr>
          <w:rFonts w:hint="eastAsia"/>
          <w:color w:val="auto"/>
          <w:sz w:val="32"/>
          <w:szCs w:val="32"/>
          <w:lang w:eastAsia="zh-CN"/>
        </w:rPr>
        <w:t>“</w:t>
      </w:r>
      <w:r>
        <w:rPr>
          <w:rFonts w:hint="eastAsia"/>
          <w:color w:val="auto"/>
          <w:sz w:val="32"/>
          <w:szCs w:val="32"/>
        </w:rPr>
        <w:t>后发先至</w:t>
      </w:r>
      <w:r>
        <w:rPr>
          <w:rFonts w:hint="eastAsia"/>
          <w:color w:val="auto"/>
          <w:sz w:val="32"/>
          <w:szCs w:val="32"/>
          <w:lang w:eastAsia="zh-CN"/>
        </w:rPr>
        <w:t>”</w:t>
      </w:r>
      <w:r>
        <w:rPr>
          <w:rFonts w:hint="eastAsia"/>
          <w:color w:val="auto"/>
          <w:sz w:val="32"/>
          <w:szCs w:val="32"/>
        </w:rPr>
        <w:t>提供坚实的安全生产保障。</w:t>
      </w:r>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20" w:name="_Toc78467530"/>
      <w:bookmarkStart w:id="21" w:name="_Toc40947949"/>
      <w:bookmarkStart w:id="22" w:name="_Toc11545"/>
      <w:r>
        <w:rPr>
          <w:rFonts w:hint="eastAsia" w:ascii="Times New Roman" w:hAnsi="Times New Roman" w:cs="Times New Roman"/>
          <w:b w:val="0"/>
          <w:bCs w:val="0"/>
          <w:color w:val="auto"/>
          <w:kern w:val="2"/>
          <w:szCs w:val="30"/>
        </w:rPr>
        <w:t>（二）基本原则</w:t>
      </w:r>
      <w:bookmarkEnd w:id="20"/>
      <w:bookmarkEnd w:id="21"/>
      <w:bookmarkEnd w:id="22"/>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sz w:val="32"/>
          <w:szCs w:val="32"/>
        </w:rPr>
      </w:pPr>
      <w:bookmarkStart w:id="23" w:name="_Toc40947950"/>
      <w:bookmarkStart w:id="24" w:name="_Toc78467531"/>
      <w:r>
        <w:rPr>
          <w:rFonts w:hint="eastAsia"/>
          <w:b/>
          <w:bCs/>
          <w:color w:val="auto"/>
          <w:sz w:val="32"/>
          <w:szCs w:val="32"/>
          <w:lang w:val="en-US" w:eastAsia="zh-CN"/>
        </w:rPr>
        <w:t>1.</w:t>
      </w:r>
      <w:r>
        <w:rPr>
          <w:rFonts w:hint="eastAsia"/>
          <w:b/>
          <w:bCs/>
          <w:color w:val="auto"/>
          <w:sz w:val="32"/>
          <w:szCs w:val="32"/>
        </w:rPr>
        <w:t>坚持安全发展，源头治理。</w:t>
      </w:r>
      <w:r>
        <w:rPr>
          <w:rFonts w:hint="eastAsia"/>
          <w:color w:val="auto"/>
          <w:sz w:val="32"/>
          <w:szCs w:val="32"/>
        </w:rPr>
        <w:t>全面加强党对安全生产工作的集中统一领导，坚持人民至上、生命至上，统筹发展和安全，实现发展质量、结构、规模、速度、效益、安全相统一。坚持前瞻谋划与整体推进相结合，坚持立足当前与着眼长远相结合，坚持关口前移、动态管控、精准治理相结合，转变发展方式，优化安全布局，严格安全准入，从源头上防范遏制事故发生。</w:t>
      </w:r>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sz w:val="32"/>
          <w:szCs w:val="32"/>
        </w:rPr>
      </w:pPr>
      <w:r>
        <w:rPr>
          <w:rFonts w:hint="eastAsia"/>
          <w:b/>
          <w:bCs/>
          <w:color w:val="auto"/>
          <w:sz w:val="32"/>
          <w:szCs w:val="32"/>
          <w:lang w:val="en-US" w:eastAsia="zh-CN"/>
        </w:rPr>
        <w:t>2.</w:t>
      </w:r>
      <w:r>
        <w:rPr>
          <w:rFonts w:hint="eastAsia"/>
          <w:b/>
          <w:bCs/>
          <w:color w:val="auto"/>
          <w:sz w:val="32"/>
          <w:szCs w:val="32"/>
        </w:rPr>
        <w:t>坚持风险防控，系统治理。</w:t>
      </w:r>
      <w:r>
        <w:rPr>
          <w:rFonts w:hint="eastAsia"/>
          <w:color w:val="auto"/>
          <w:sz w:val="32"/>
          <w:szCs w:val="32"/>
        </w:rPr>
        <w:t>强化目标导向、问题导向和结果导向，聚焦重大安全风险，综合运用法律、行政、经济、市场、科技等手段，织密织牢风险防控网络。实施一批重大政策和重点工程，强化安全生产基础和能力建设，落实人防、技防、物防措施，系统推进风险隐患治理，提升本质安全水平，有效防范和化解影响我</w:t>
      </w:r>
      <w:r>
        <w:rPr>
          <w:rFonts w:hint="eastAsia"/>
          <w:color w:val="auto"/>
          <w:sz w:val="32"/>
          <w:szCs w:val="32"/>
          <w:lang w:eastAsia="zh-CN"/>
        </w:rPr>
        <w:t>区</w:t>
      </w:r>
      <w:r>
        <w:rPr>
          <w:rFonts w:hint="eastAsia"/>
          <w:color w:val="auto"/>
          <w:sz w:val="32"/>
          <w:szCs w:val="32"/>
        </w:rPr>
        <w:t>经济社会高质量发展的重大安全风险。</w:t>
      </w:r>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sz w:val="32"/>
          <w:szCs w:val="32"/>
        </w:rPr>
      </w:pPr>
      <w:r>
        <w:rPr>
          <w:rFonts w:hint="eastAsia"/>
          <w:b/>
          <w:bCs/>
          <w:color w:val="auto"/>
          <w:sz w:val="32"/>
          <w:szCs w:val="32"/>
          <w:lang w:val="en-US" w:eastAsia="zh-CN"/>
        </w:rPr>
        <w:t>3.</w:t>
      </w:r>
      <w:r>
        <w:rPr>
          <w:rFonts w:hint="eastAsia"/>
          <w:b/>
          <w:bCs/>
          <w:color w:val="auto"/>
          <w:sz w:val="32"/>
          <w:szCs w:val="32"/>
        </w:rPr>
        <w:t>坚持改革创新，依法治理。</w:t>
      </w:r>
      <w:r>
        <w:rPr>
          <w:rFonts w:hint="eastAsia"/>
          <w:color w:val="auto"/>
          <w:sz w:val="32"/>
          <w:szCs w:val="32"/>
        </w:rPr>
        <w:t>持续推进安全生产体制机制改革发展，注重依靠制度创新、管理创新和科技创新，推动安全生产治理体系和能力现代化。深入推进严格执法、公正</w:t>
      </w:r>
      <w:r>
        <w:rPr>
          <w:rFonts w:hint="eastAsia"/>
          <w:color w:val="auto"/>
          <w:sz w:val="32"/>
          <w:szCs w:val="32"/>
          <w:lang w:eastAsia="zh-CN"/>
        </w:rPr>
        <w:t>执</w:t>
      </w:r>
      <w:r>
        <w:rPr>
          <w:rFonts w:hint="eastAsia"/>
          <w:color w:val="auto"/>
          <w:sz w:val="32"/>
          <w:szCs w:val="32"/>
        </w:rPr>
        <w:t>法、全民守法，运用法治思维和手段解决安全生产问题，依靠法律制度筑牢安全生产屏障，实现源头严防、过程严管、后果严惩。</w:t>
      </w:r>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sz w:val="32"/>
          <w:szCs w:val="32"/>
        </w:rPr>
      </w:pPr>
      <w:r>
        <w:rPr>
          <w:rFonts w:hint="eastAsia"/>
          <w:b/>
          <w:bCs/>
          <w:color w:val="auto"/>
          <w:sz w:val="32"/>
          <w:szCs w:val="32"/>
          <w:lang w:val="en-US" w:eastAsia="zh-CN"/>
        </w:rPr>
        <w:t>4.</w:t>
      </w:r>
      <w:r>
        <w:rPr>
          <w:rFonts w:hint="eastAsia"/>
          <w:b/>
          <w:bCs/>
          <w:color w:val="auto"/>
          <w:sz w:val="32"/>
          <w:szCs w:val="32"/>
        </w:rPr>
        <w:t>坚持压实责任，综合治理。</w:t>
      </w:r>
      <w:r>
        <w:rPr>
          <w:rFonts w:hint="eastAsia"/>
          <w:color w:val="auto"/>
          <w:sz w:val="32"/>
          <w:szCs w:val="32"/>
        </w:rPr>
        <w:t>进一步压紧压实党委政府领导责任和部门监管责任，加快建立企业“全员、全岗位、全过程、全天候”安全生产责任链条，构建更为严密的安全生产责任体系，形成企业负责、职工参与、政府监管、行业自律、社会监督的安全生产共建共治共享格局。</w:t>
      </w:r>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25" w:name="_Toc1886"/>
      <w:r>
        <w:rPr>
          <w:rFonts w:hint="eastAsia" w:ascii="Times New Roman" w:hAnsi="Times New Roman" w:cs="Times New Roman"/>
          <w:b w:val="0"/>
          <w:bCs w:val="0"/>
          <w:color w:val="auto"/>
          <w:kern w:val="2"/>
          <w:szCs w:val="30"/>
        </w:rPr>
        <w:t>（三）规划目标</w:t>
      </w:r>
      <w:bookmarkEnd w:id="23"/>
      <w:bookmarkEnd w:id="24"/>
      <w:bookmarkEnd w:id="25"/>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color w:val="auto"/>
          <w:sz w:val="32"/>
          <w:szCs w:val="32"/>
          <w:lang w:val="en-US" w:eastAsia="zh-CN"/>
        </w:rPr>
      </w:pPr>
      <w:r>
        <w:rPr>
          <w:rFonts w:hint="eastAsia" w:ascii="Times New Roman" w:hAnsi="Times New Roman" w:eastAsia="仿宋_GB2312" w:cs="仿宋_GB2312"/>
          <w:kern w:val="2"/>
          <w:sz w:val="32"/>
          <w:szCs w:val="32"/>
          <w:lang w:val="en-US" w:eastAsia="zh-CN" w:bidi="ar-SA"/>
        </w:rPr>
        <w:t>到2025年，全区安全生产法治化、智能化、社会化水平明显提升，安全生产监管体制</w:t>
      </w:r>
      <w:r>
        <w:rPr>
          <w:rFonts w:hint="eastAsia"/>
          <w:color w:val="auto"/>
          <w:sz w:val="32"/>
          <w:szCs w:val="32"/>
        </w:rPr>
        <w:t>更加完善，安全生产责任体系和安全风险防控体系逐步健全，安全生产基层基础保障能力显著增强，全民安全文明素质显著提升，基本实现安全生产治理体系和治理能力现代化，与小康社会相适应的安全发展城市体系初步形成。安全生产专项整治取得明显成效，危化品领域全生命周期系统生产安全风险基本化解，企业本质安全水平大幅提升，重大安全风险有效管控，重特大事故有效遏制，事故总量持续下降，生产安全事故起数和死亡人数降幅大于全国平均水平，全</w:t>
      </w:r>
      <w:r>
        <w:rPr>
          <w:rFonts w:hint="eastAsia"/>
          <w:color w:val="auto"/>
          <w:sz w:val="32"/>
          <w:szCs w:val="32"/>
          <w:lang w:eastAsia="zh-CN"/>
        </w:rPr>
        <w:t>区</w:t>
      </w:r>
      <w:r>
        <w:rPr>
          <w:rFonts w:hint="eastAsia"/>
          <w:color w:val="auto"/>
          <w:sz w:val="32"/>
          <w:szCs w:val="32"/>
        </w:rPr>
        <w:t>安全生产整体水平明显提高。</w:t>
      </w:r>
      <w:r>
        <w:rPr>
          <w:rFonts w:hint="eastAsia"/>
          <w:color w:val="auto"/>
          <w:sz w:val="32"/>
          <w:szCs w:val="32"/>
          <w:lang w:val="en-US" w:eastAsia="zh-CN"/>
        </w:rPr>
        <w:t xml:space="preserve">  </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eastAsia="仿宋_GB2312"/>
          <w:sz w:val="32"/>
          <w:szCs w:val="32"/>
        </w:rPr>
      </w:pPr>
      <w:r>
        <w:rPr>
          <w:rFonts w:hint="eastAsia" w:ascii="Times New Roman" w:hAnsi="Times New Roman" w:eastAsia="仿宋_GB2312" w:cs="仿宋_GB2312"/>
          <w:kern w:val="2"/>
          <w:sz w:val="32"/>
          <w:szCs w:val="32"/>
          <w:lang w:val="en-US" w:eastAsia="zh-CN" w:bidi="ar-SA"/>
        </w:rPr>
        <w:t>到2025年，建成与高质量发展相适应的现代化应急管理体系和能力，形成统一指挥、专常兼备、反应灵敏、上下联动的应急管理体制，建成统一领</w:t>
      </w:r>
      <w:r>
        <w:rPr>
          <w:rFonts w:hint="eastAsia" w:ascii="仿宋_GB2312" w:eastAsia="仿宋_GB2312"/>
          <w:sz w:val="32"/>
          <w:szCs w:val="32"/>
        </w:rPr>
        <w:t>导、权责一致、权威高效的应急能力体系；有效防范和化解重大安全风险，建设与经济社会</w:t>
      </w:r>
      <w:r>
        <w:rPr>
          <w:rFonts w:ascii="仿宋_GB2312" w:eastAsia="仿宋_GB2312"/>
          <w:sz w:val="32"/>
          <w:szCs w:val="32"/>
        </w:rPr>
        <w:t>发展</w:t>
      </w:r>
      <w:r>
        <w:rPr>
          <w:rFonts w:hint="eastAsia" w:ascii="仿宋_GB2312" w:eastAsia="仿宋_GB2312"/>
          <w:sz w:val="32"/>
          <w:szCs w:val="32"/>
        </w:rPr>
        <w:t>相适应的安全发展城市；提高防灾减灾救灾能力，依法治理、综合治理、源头治理的应急管理现代化水平显著提升。</w:t>
      </w:r>
    </w:p>
    <w:p>
      <w:pPr>
        <w:snapToGrid w:val="0"/>
        <w:spacing w:line="580" w:lineRule="exact"/>
        <w:jc w:val="center"/>
        <w:rPr>
          <w:rFonts w:ascii="楷体_GB2312" w:eastAsia="楷体_GB2312"/>
          <w:b/>
          <w:bCs/>
          <w:color w:val="auto"/>
          <w:sz w:val="28"/>
          <w:szCs w:val="28"/>
          <w:highlight w:val="none"/>
        </w:rPr>
      </w:pPr>
      <w:bookmarkStart w:id="26" w:name="_Toc9026"/>
      <w:bookmarkStart w:id="27" w:name="_Toc40947951"/>
      <w:bookmarkStart w:id="28" w:name="_Toc78467532"/>
      <w:r>
        <w:rPr>
          <w:rFonts w:hint="eastAsia" w:ascii="楷体_GB2312" w:eastAsia="楷体_GB2312"/>
          <w:b/>
          <w:bCs/>
          <w:color w:val="auto"/>
          <w:sz w:val="28"/>
          <w:szCs w:val="28"/>
          <w:highlight w:val="none"/>
        </w:rPr>
        <w:t>连云</w:t>
      </w:r>
      <w:r>
        <w:rPr>
          <w:rFonts w:hint="eastAsia" w:ascii="楷体_GB2312" w:eastAsia="楷体_GB2312"/>
          <w:b/>
          <w:bCs/>
          <w:color w:val="auto"/>
          <w:sz w:val="28"/>
          <w:szCs w:val="28"/>
          <w:highlight w:val="none"/>
          <w:lang w:eastAsia="zh-CN"/>
        </w:rPr>
        <w:t>区</w:t>
      </w:r>
      <w:r>
        <w:rPr>
          <w:rFonts w:hint="eastAsia" w:ascii="楷体_GB2312" w:eastAsia="楷体_GB2312"/>
          <w:b/>
          <w:bCs/>
          <w:color w:val="auto"/>
          <w:sz w:val="28"/>
          <w:szCs w:val="28"/>
          <w:highlight w:val="none"/>
        </w:rPr>
        <w:t>“十四五”时期安全生产</w:t>
      </w:r>
      <w:r>
        <w:rPr>
          <w:rFonts w:hint="eastAsia" w:ascii="楷体_GB2312" w:eastAsia="楷体_GB2312"/>
          <w:b/>
          <w:bCs/>
          <w:color w:val="auto"/>
          <w:sz w:val="28"/>
          <w:szCs w:val="28"/>
          <w:highlight w:val="none"/>
          <w:lang w:eastAsia="zh-CN"/>
        </w:rPr>
        <w:t>规划</w:t>
      </w:r>
      <w:r>
        <w:rPr>
          <w:rFonts w:hint="eastAsia" w:ascii="楷体_GB2312" w:eastAsia="楷体_GB2312"/>
          <w:b/>
          <w:bCs/>
          <w:color w:val="auto"/>
          <w:sz w:val="28"/>
          <w:szCs w:val="28"/>
          <w:highlight w:val="none"/>
        </w:rPr>
        <w:t>主要指标</w:t>
      </w:r>
      <w:bookmarkEnd w:id="26"/>
    </w:p>
    <w:tbl>
      <w:tblPr>
        <w:tblStyle w:val="17"/>
        <w:tblW w:w="8437" w:type="dxa"/>
        <w:tblInd w:w="0" w:type="dxa"/>
        <w:tblLayout w:type="fixed"/>
        <w:tblCellMar>
          <w:top w:w="0" w:type="dxa"/>
          <w:left w:w="0" w:type="dxa"/>
          <w:bottom w:w="0" w:type="dxa"/>
          <w:right w:w="0" w:type="dxa"/>
        </w:tblCellMar>
      </w:tblPr>
      <w:tblGrid>
        <w:gridCol w:w="959"/>
        <w:gridCol w:w="4959"/>
        <w:gridCol w:w="2519"/>
      </w:tblGrid>
      <w:tr>
        <w:tblPrEx>
          <w:tblCellMar>
            <w:top w:w="0" w:type="dxa"/>
            <w:left w:w="0" w:type="dxa"/>
            <w:bottom w:w="0" w:type="dxa"/>
            <w:right w:w="0" w:type="dxa"/>
          </w:tblCellMar>
        </w:tblPrEx>
        <w:trPr>
          <w:trHeight w:val="480" w:hRule="atLeast"/>
        </w:trPr>
        <w:tc>
          <w:tcPr>
            <w:tcW w:w="959" w:type="dxa"/>
            <w:tcBorders>
              <w:top w:val="single" w:color="auto" w:sz="4" w:space="0"/>
              <w:left w:val="single" w:color="auto" w:sz="4" w:space="0"/>
              <w:bottom w:val="single" w:color="auto" w:sz="8" w:space="0"/>
              <w:right w:val="single" w:color="auto" w:sz="8" w:space="0"/>
            </w:tcBorders>
            <w:tcMar>
              <w:left w:w="113" w:type="dxa"/>
            </w:tcMar>
            <w:vAlign w:val="center"/>
          </w:tcPr>
          <w:p>
            <w:pPr>
              <w:autoSpaceDE w:val="0"/>
              <w:autoSpaceDN w:val="0"/>
              <w:spacing w:line="460" w:lineRule="exact"/>
              <w:contextualSpacing/>
              <w:jc w:val="center"/>
              <w:rPr>
                <w:rFonts w:hAnsi="仿宋"/>
                <w:b/>
                <w:color w:val="auto"/>
                <w:sz w:val="24"/>
                <w:szCs w:val="24"/>
                <w:highlight w:val="none"/>
              </w:rPr>
            </w:pPr>
            <w:r>
              <w:rPr>
                <w:rFonts w:hint="eastAsia" w:hAnsi="仿宋"/>
                <w:b/>
                <w:color w:val="auto"/>
                <w:sz w:val="24"/>
                <w:szCs w:val="24"/>
                <w:highlight w:val="none"/>
              </w:rPr>
              <w:t>序号</w:t>
            </w:r>
          </w:p>
        </w:tc>
        <w:tc>
          <w:tcPr>
            <w:tcW w:w="4959" w:type="dxa"/>
            <w:tcBorders>
              <w:top w:val="single" w:color="auto" w:sz="4" w:space="0"/>
              <w:left w:val="single" w:color="auto" w:sz="8" w:space="0"/>
              <w:bottom w:val="single" w:color="auto" w:sz="8" w:space="0"/>
              <w:right w:val="single" w:color="auto" w:sz="8" w:space="0"/>
            </w:tcBorders>
            <w:tcMar>
              <w:left w:w="113" w:type="dxa"/>
            </w:tcMar>
            <w:vAlign w:val="center"/>
          </w:tcPr>
          <w:p>
            <w:pPr>
              <w:autoSpaceDE w:val="0"/>
              <w:autoSpaceDN w:val="0"/>
              <w:spacing w:line="460" w:lineRule="exact"/>
              <w:contextualSpacing/>
              <w:jc w:val="center"/>
              <w:rPr>
                <w:rFonts w:hAnsi="仿宋"/>
                <w:b/>
                <w:color w:val="auto"/>
                <w:sz w:val="24"/>
                <w:szCs w:val="24"/>
                <w:highlight w:val="none"/>
              </w:rPr>
            </w:pPr>
            <w:r>
              <w:rPr>
                <w:rFonts w:hint="eastAsia" w:hAnsi="仿宋"/>
                <w:b/>
                <w:color w:val="auto"/>
                <w:sz w:val="24"/>
                <w:szCs w:val="24"/>
                <w:highlight w:val="none"/>
              </w:rPr>
              <w:t>指标内容</w:t>
            </w:r>
          </w:p>
        </w:tc>
        <w:tc>
          <w:tcPr>
            <w:tcW w:w="2519" w:type="dxa"/>
            <w:tcBorders>
              <w:top w:val="single" w:color="auto" w:sz="4" w:space="0"/>
              <w:left w:val="single" w:color="auto" w:sz="8" w:space="0"/>
              <w:bottom w:val="single" w:color="auto" w:sz="8" w:space="0"/>
              <w:right w:val="single" w:color="auto" w:sz="8" w:space="0"/>
            </w:tcBorders>
            <w:tcMar>
              <w:left w:w="113" w:type="dxa"/>
            </w:tcMar>
            <w:vAlign w:val="center"/>
          </w:tcPr>
          <w:p>
            <w:pPr>
              <w:autoSpaceDE w:val="0"/>
              <w:autoSpaceDN w:val="0"/>
              <w:spacing w:line="460" w:lineRule="exact"/>
              <w:contextualSpacing/>
              <w:jc w:val="center"/>
              <w:rPr>
                <w:rFonts w:hAnsi="仿宋"/>
                <w:b/>
                <w:color w:val="auto"/>
                <w:sz w:val="24"/>
                <w:szCs w:val="24"/>
                <w:highlight w:val="none"/>
              </w:rPr>
            </w:pPr>
            <w:r>
              <w:rPr>
                <w:rFonts w:hint="eastAsia" w:hAnsi="仿宋"/>
                <w:b/>
                <w:color w:val="auto"/>
                <w:sz w:val="24"/>
                <w:szCs w:val="24"/>
                <w:highlight w:val="none"/>
              </w:rPr>
              <w:t>预期</w:t>
            </w:r>
            <w:r>
              <w:rPr>
                <w:rFonts w:hAnsi="仿宋"/>
                <w:b/>
                <w:color w:val="auto"/>
                <w:sz w:val="24"/>
                <w:szCs w:val="24"/>
                <w:highlight w:val="none"/>
              </w:rPr>
              <w:t>值</w:t>
            </w:r>
          </w:p>
        </w:tc>
      </w:tr>
      <w:tr>
        <w:tblPrEx>
          <w:tblCellMar>
            <w:top w:w="0" w:type="dxa"/>
            <w:left w:w="0" w:type="dxa"/>
            <w:bottom w:w="0" w:type="dxa"/>
            <w:right w:w="0" w:type="dxa"/>
          </w:tblCellMar>
        </w:tblPrEx>
        <w:trPr>
          <w:trHeight w:val="494" w:hRule="atLeast"/>
        </w:trPr>
        <w:tc>
          <w:tcPr>
            <w:tcW w:w="959" w:type="dxa"/>
            <w:tcBorders>
              <w:top w:val="single" w:color="auto" w:sz="8" w:space="0"/>
              <w:left w:val="single" w:color="auto" w:sz="4" w:space="0"/>
              <w:bottom w:val="single" w:color="auto" w:sz="8" w:space="0"/>
              <w:right w:val="single" w:color="auto" w:sz="4" w:space="0"/>
            </w:tcBorders>
            <w:tcMar>
              <w:left w:w="0" w:type="dxa"/>
            </w:tcMar>
            <w:vAlign w:val="center"/>
          </w:tcPr>
          <w:p>
            <w:pPr>
              <w:autoSpaceDE w:val="0"/>
              <w:autoSpaceDN w:val="0"/>
              <w:spacing w:line="460" w:lineRule="exact"/>
              <w:contextualSpacing/>
              <w:jc w:val="center"/>
              <w:rPr>
                <w:rFonts w:hAnsi="仿宋"/>
                <w:color w:val="auto"/>
                <w:sz w:val="24"/>
                <w:szCs w:val="24"/>
                <w:highlight w:val="none"/>
              </w:rPr>
            </w:pPr>
            <w:r>
              <w:rPr>
                <w:rFonts w:hint="eastAsia" w:hAnsi="仿宋"/>
                <w:color w:val="auto"/>
                <w:sz w:val="24"/>
                <w:szCs w:val="24"/>
                <w:highlight w:val="none"/>
              </w:rPr>
              <w:t>1</w:t>
            </w:r>
          </w:p>
        </w:tc>
        <w:tc>
          <w:tcPr>
            <w:tcW w:w="4959" w:type="dxa"/>
            <w:tcBorders>
              <w:top w:val="single" w:color="auto" w:sz="8" w:space="0"/>
              <w:left w:val="single" w:color="auto" w:sz="4" w:space="0"/>
              <w:bottom w:val="single" w:color="auto" w:sz="8" w:space="0"/>
              <w:right w:val="single" w:color="auto" w:sz="8" w:space="0"/>
            </w:tcBorders>
            <w:tcMar>
              <w:left w:w="113" w:type="dxa"/>
            </w:tcMar>
            <w:vAlign w:val="center"/>
          </w:tcPr>
          <w:p>
            <w:pPr>
              <w:autoSpaceDE w:val="0"/>
              <w:autoSpaceDN w:val="0"/>
              <w:jc w:val="left"/>
              <w:rPr>
                <w:rFonts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生产安全事故起数</w:t>
            </w:r>
          </w:p>
        </w:tc>
        <w:tc>
          <w:tcPr>
            <w:tcW w:w="2519" w:type="dxa"/>
            <w:tcBorders>
              <w:top w:val="single" w:color="auto" w:sz="8" w:space="0"/>
              <w:left w:val="single" w:color="auto" w:sz="8" w:space="0"/>
              <w:bottom w:val="single" w:color="auto" w:sz="8" w:space="0"/>
              <w:right w:val="single" w:color="auto" w:sz="8" w:space="0"/>
            </w:tcBorders>
            <w:tcMar>
              <w:left w:w="0" w:type="dxa"/>
            </w:tcMar>
            <w:vAlign w:val="center"/>
          </w:tcPr>
          <w:p>
            <w:pPr>
              <w:autoSpaceDE w:val="0"/>
              <w:autoSpaceDN w:val="0"/>
              <w:jc w:val="center"/>
              <w:rPr>
                <w:snapToGrid w:val="0"/>
                <w:color w:val="auto"/>
                <w:sz w:val="24"/>
                <w:highlight w:val="none"/>
              </w:rPr>
            </w:pPr>
            <w:r>
              <w:rPr>
                <w:rFonts w:hint="eastAsia"/>
                <w:snapToGrid w:val="0"/>
                <w:color w:val="auto"/>
                <w:sz w:val="24"/>
                <w:highlight w:val="none"/>
              </w:rPr>
              <w:t>下降1</w:t>
            </w:r>
            <w:r>
              <w:rPr>
                <w:rFonts w:hint="eastAsia"/>
                <w:snapToGrid w:val="0"/>
                <w:color w:val="auto"/>
                <w:sz w:val="24"/>
                <w:highlight w:val="none"/>
                <w:lang w:val="en-US" w:eastAsia="zh-CN"/>
              </w:rPr>
              <w:t>6</w:t>
            </w:r>
            <w:r>
              <w:rPr>
                <w:snapToGrid w:val="0"/>
                <w:color w:val="auto"/>
                <w:sz w:val="24"/>
                <w:highlight w:val="none"/>
              </w:rPr>
              <w:t>%</w:t>
            </w:r>
          </w:p>
        </w:tc>
      </w:tr>
      <w:tr>
        <w:tblPrEx>
          <w:tblCellMar>
            <w:top w:w="0" w:type="dxa"/>
            <w:left w:w="0" w:type="dxa"/>
            <w:bottom w:w="0" w:type="dxa"/>
            <w:right w:w="0" w:type="dxa"/>
          </w:tblCellMar>
        </w:tblPrEx>
        <w:trPr>
          <w:trHeight w:val="494" w:hRule="atLeast"/>
        </w:trPr>
        <w:tc>
          <w:tcPr>
            <w:tcW w:w="959" w:type="dxa"/>
            <w:tcBorders>
              <w:top w:val="single" w:color="auto" w:sz="8" w:space="0"/>
              <w:left w:val="single" w:color="auto" w:sz="4" w:space="0"/>
              <w:bottom w:val="single" w:color="auto" w:sz="8" w:space="0"/>
              <w:right w:val="single" w:color="auto" w:sz="4" w:space="0"/>
            </w:tcBorders>
            <w:tcMar>
              <w:left w:w="0" w:type="dxa"/>
            </w:tcMar>
            <w:vAlign w:val="center"/>
          </w:tcPr>
          <w:p>
            <w:pPr>
              <w:autoSpaceDE w:val="0"/>
              <w:autoSpaceDN w:val="0"/>
              <w:spacing w:line="460" w:lineRule="exact"/>
              <w:ind w:firstLine="360" w:firstLineChars="150"/>
              <w:contextualSpacing/>
              <w:jc w:val="both"/>
              <w:rPr>
                <w:rFonts w:hAnsi="仿宋"/>
                <w:color w:val="auto"/>
                <w:sz w:val="24"/>
                <w:szCs w:val="24"/>
                <w:highlight w:val="none"/>
              </w:rPr>
            </w:pPr>
            <w:r>
              <w:rPr>
                <w:rFonts w:hAnsi="仿宋"/>
                <w:color w:val="auto"/>
                <w:sz w:val="24"/>
                <w:szCs w:val="24"/>
                <w:highlight w:val="none"/>
              </w:rPr>
              <w:t>2</w:t>
            </w:r>
          </w:p>
        </w:tc>
        <w:tc>
          <w:tcPr>
            <w:tcW w:w="4959" w:type="dxa"/>
            <w:tcBorders>
              <w:top w:val="single" w:color="auto" w:sz="8" w:space="0"/>
              <w:left w:val="single" w:color="auto" w:sz="4" w:space="0"/>
              <w:bottom w:val="single" w:color="auto" w:sz="8" w:space="0"/>
              <w:right w:val="single" w:color="auto" w:sz="8" w:space="0"/>
            </w:tcBorders>
            <w:tcMar>
              <w:left w:w="113" w:type="dxa"/>
            </w:tcMar>
            <w:vAlign w:val="center"/>
          </w:tcPr>
          <w:p>
            <w:pPr>
              <w:autoSpaceDE w:val="0"/>
              <w:autoSpaceDN w:val="0"/>
              <w:jc w:val="left"/>
              <w:rPr>
                <w:rFonts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生产安全事故死亡人数</w:t>
            </w:r>
          </w:p>
        </w:tc>
        <w:tc>
          <w:tcPr>
            <w:tcW w:w="2519" w:type="dxa"/>
            <w:tcBorders>
              <w:top w:val="single" w:color="auto" w:sz="8" w:space="0"/>
              <w:left w:val="single" w:color="auto" w:sz="8" w:space="0"/>
              <w:bottom w:val="single" w:color="auto" w:sz="8" w:space="0"/>
              <w:right w:val="single" w:color="auto" w:sz="8" w:space="0"/>
            </w:tcBorders>
            <w:tcMar>
              <w:left w:w="0" w:type="dxa"/>
            </w:tcMar>
            <w:vAlign w:val="center"/>
          </w:tcPr>
          <w:p>
            <w:pPr>
              <w:autoSpaceDE w:val="0"/>
              <w:autoSpaceDN w:val="0"/>
              <w:jc w:val="center"/>
              <w:rPr>
                <w:snapToGrid w:val="0"/>
                <w:color w:val="auto"/>
                <w:sz w:val="24"/>
                <w:highlight w:val="none"/>
              </w:rPr>
            </w:pPr>
            <w:r>
              <w:rPr>
                <w:rFonts w:hint="eastAsia"/>
                <w:snapToGrid w:val="0"/>
                <w:color w:val="auto"/>
                <w:sz w:val="24"/>
                <w:highlight w:val="none"/>
              </w:rPr>
              <w:t>下降</w:t>
            </w:r>
            <w:r>
              <w:rPr>
                <w:snapToGrid w:val="0"/>
                <w:color w:val="auto"/>
                <w:sz w:val="24"/>
                <w:highlight w:val="none"/>
              </w:rPr>
              <w:t>1</w:t>
            </w:r>
            <w:r>
              <w:rPr>
                <w:rFonts w:hint="eastAsia"/>
                <w:snapToGrid w:val="0"/>
                <w:color w:val="auto"/>
                <w:sz w:val="24"/>
                <w:highlight w:val="none"/>
                <w:lang w:val="en-US" w:eastAsia="zh-CN"/>
              </w:rPr>
              <w:t>6</w:t>
            </w:r>
            <w:r>
              <w:rPr>
                <w:snapToGrid w:val="0"/>
                <w:color w:val="auto"/>
                <w:sz w:val="24"/>
                <w:highlight w:val="none"/>
              </w:rPr>
              <w:t>%</w:t>
            </w:r>
          </w:p>
        </w:tc>
      </w:tr>
      <w:tr>
        <w:tblPrEx>
          <w:tblCellMar>
            <w:top w:w="0" w:type="dxa"/>
            <w:left w:w="0" w:type="dxa"/>
            <w:bottom w:w="0" w:type="dxa"/>
            <w:right w:w="0" w:type="dxa"/>
          </w:tblCellMar>
        </w:tblPrEx>
        <w:trPr>
          <w:trHeight w:val="494" w:hRule="atLeast"/>
        </w:trPr>
        <w:tc>
          <w:tcPr>
            <w:tcW w:w="959" w:type="dxa"/>
            <w:tcBorders>
              <w:top w:val="single" w:color="auto" w:sz="8" w:space="0"/>
              <w:left w:val="single" w:color="auto" w:sz="4" w:space="0"/>
              <w:bottom w:val="single" w:color="auto" w:sz="8" w:space="0"/>
              <w:right w:val="single" w:color="auto" w:sz="4" w:space="0"/>
            </w:tcBorders>
            <w:tcMar>
              <w:left w:w="0" w:type="dxa"/>
            </w:tcMar>
            <w:vAlign w:val="center"/>
          </w:tcPr>
          <w:p>
            <w:pPr>
              <w:autoSpaceDE w:val="0"/>
              <w:autoSpaceDN w:val="0"/>
              <w:spacing w:line="460" w:lineRule="exact"/>
              <w:ind w:firstLine="360" w:firstLineChars="150"/>
              <w:contextualSpacing/>
              <w:jc w:val="both"/>
              <w:rPr>
                <w:rFonts w:hAnsi="仿宋"/>
                <w:color w:val="auto"/>
                <w:sz w:val="24"/>
                <w:szCs w:val="24"/>
                <w:highlight w:val="none"/>
              </w:rPr>
            </w:pPr>
            <w:r>
              <w:rPr>
                <w:rFonts w:hAnsi="仿宋"/>
                <w:color w:val="auto"/>
                <w:sz w:val="24"/>
                <w:szCs w:val="24"/>
                <w:highlight w:val="none"/>
              </w:rPr>
              <w:t>3</w:t>
            </w:r>
          </w:p>
        </w:tc>
        <w:tc>
          <w:tcPr>
            <w:tcW w:w="4959" w:type="dxa"/>
            <w:tcBorders>
              <w:top w:val="single" w:color="auto" w:sz="8" w:space="0"/>
              <w:left w:val="single" w:color="auto" w:sz="4" w:space="0"/>
              <w:bottom w:val="single" w:color="auto" w:sz="8" w:space="0"/>
              <w:right w:val="single" w:color="auto" w:sz="8" w:space="0"/>
            </w:tcBorders>
            <w:tcMar>
              <w:left w:w="113" w:type="dxa"/>
            </w:tcMar>
            <w:vAlign w:val="center"/>
          </w:tcPr>
          <w:p>
            <w:pPr>
              <w:autoSpaceDE w:val="0"/>
              <w:autoSpaceDN w:val="0"/>
              <w:jc w:val="left"/>
              <w:rPr>
                <w:rFonts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亿元国内生产总值生产安全事故死亡率</w:t>
            </w:r>
          </w:p>
        </w:tc>
        <w:tc>
          <w:tcPr>
            <w:tcW w:w="2519" w:type="dxa"/>
            <w:tcBorders>
              <w:top w:val="single" w:color="auto" w:sz="8" w:space="0"/>
              <w:left w:val="single" w:color="auto" w:sz="8" w:space="0"/>
              <w:bottom w:val="single" w:color="auto" w:sz="8" w:space="0"/>
              <w:right w:val="single" w:color="auto" w:sz="8" w:space="0"/>
            </w:tcBorders>
            <w:tcMar>
              <w:left w:w="0" w:type="dxa"/>
            </w:tcMar>
            <w:vAlign w:val="center"/>
          </w:tcPr>
          <w:p>
            <w:pPr>
              <w:autoSpaceDE w:val="0"/>
              <w:autoSpaceDN w:val="0"/>
              <w:jc w:val="center"/>
              <w:rPr>
                <w:snapToGrid w:val="0"/>
                <w:color w:val="auto"/>
                <w:sz w:val="24"/>
                <w:highlight w:val="none"/>
              </w:rPr>
            </w:pPr>
            <w:r>
              <w:rPr>
                <w:rFonts w:hint="eastAsia"/>
                <w:snapToGrid w:val="0"/>
                <w:color w:val="auto"/>
                <w:sz w:val="24"/>
                <w:highlight w:val="none"/>
              </w:rPr>
              <w:t>下降</w:t>
            </w:r>
            <w:r>
              <w:rPr>
                <w:snapToGrid w:val="0"/>
                <w:color w:val="auto"/>
                <w:sz w:val="24"/>
                <w:highlight w:val="none"/>
              </w:rPr>
              <w:t>3</w:t>
            </w:r>
            <w:r>
              <w:rPr>
                <w:rFonts w:hint="eastAsia"/>
                <w:snapToGrid w:val="0"/>
                <w:color w:val="auto"/>
                <w:sz w:val="24"/>
                <w:highlight w:val="none"/>
                <w:lang w:val="en-US" w:eastAsia="zh-CN"/>
              </w:rPr>
              <w:t>6</w:t>
            </w:r>
            <w:r>
              <w:rPr>
                <w:snapToGrid w:val="0"/>
                <w:color w:val="auto"/>
                <w:sz w:val="24"/>
                <w:highlight w:val="none"/>
              </w:rPr>
              <w:t>%</w:t>
            </w:r>
          </w:p>
        </w:tc>
      </w:tr>
      <w:tr>
        <w:tblPrEx>
          <w:tblCellMar>
            <w:top w:w="0" w:type="dxa"/>
            <w:left w:w="0" w:type="dxa"/>
            <w:bottom w:w="0" w:type="dxa"/>
            <w:right w:w="0" w:type="dxa"/>
          </w:tblCellMar>
        </w:tblPrEx>
        <w:trPr>
          <w:trHeight w:val="494" w:hRule="atLeast"/>
        </w:trPr>
        <w:tc>
          <w:tcPr>
            <w:tcW w:w="959" w:type="dxa"/>
            <w:tcBorders>
              <w:top w:val="single" w:color="auto" w:sz="8" w:space="0"/>
              <w:left w:val="single" w:color="auto" w:sz="4" w:space="0"/>
              <w:bottom w:val="single" w:color="auto" w:sz="8" w:space="0"/>
              <w:right w:val="single" w:color="auto" w:sz="4" w:space="0"/>
            </w:tcBorders>
            <w:tcMar>
              <w:left w:w="0" w:type="dxa"/>
            </w:tcMar>
            <w:vAlign w:val="center"/>
          </w:tcPr>
          <w:p>
            <w:pPr>
              <w:autoSpaceDE w:val="0"/>
              <w:autoSpaceDN w:val="0"/>
              <w:spacing w:line="460" w:lineRule="exact"/>
              <w:ind w:firstLine="360" w:firstLineChars="150"/>
              <w:contextualSpacing/>
              <w:jc w:val="both"/>
              <w:rPr>
                <w:rFonts w:hAnsi="仿宋"/>
                <w:color w:val="auto"/>
                <w:sz w:val="24"/>
                <w:szCs w:val="24"/>
                <w:highlight w:val="none"/>
              </w:rPr>
            </w:pPr>
            <w:r>
              <w:rPr>
                <w:rFonts w:hint="eastAsia" w:hAnsi="仿宋"/>
                <w:color w:val="auto"/>
                <w:sz w:val="24"/>
                <w:szCs w:val="24"/>
                <w:highlight w:val="none"/>
              </w:rPr>
              <w:t>4</w:t>
            </w:r>
          </w:p>
        </w:tc>
        <w:tc>
          <w:tcPr>
            <w:tcW w:w="4959" w:type="dxa"/>
            <w:tcBorders>
              <w:top w:val="single" w:color="auto" w:sz="8" w:space="0"/>
              <w:left w:val="single" w:color="auto" w:sz="4" w:space="0"/>
              <w:bottom w:val="single" w:color="auto" w:sz="8" w:space="0"/>
              <w:right w:val="single" w:color="auto" w:sz="8" w:space="0"/>
            </w:tcBorders>
            <w:tcMar>
              <w:left w:w="113" w:type="dxa"/>
            </w:tcMar>
            <w:vAlign w:val="center"/>
          </w:tcPr>
          <w:p>
            <w:pPr>
              <w:autoSpaceDE w:val="0"/>
              <w:autoSpaceDN w:val="0"/>
              <w:jc w:val="left"/>
              <w:rPr>
                <w:rFonts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工矿商贸就业人员十万人生产安全事故死亡率</w:t>
            </w:r>
          </w:p>
        </w:tc>
        <w:tc>
          <w:tcPr>
            <w:tcW w:w="2519" w:type="dxa"/>
            <w:tcBorders>
              <w:top w:val="single" w:color="auto" w:sz="8" w:space="0"/>
              <w:left w:val="single" w:color="auto" w:sz="8" w:space="0"/>
              <w:bottom w:val="single" w:color="auto" w:sz="8" w:space="0"/>
              <w:right w:val="single" w:color="auto" w:sz="8" w:space="0"/>
            </w:tcBorders>
            <w:tcMar>
              <w:left w:w="0" w:type="dxa"/>
            </w:tcMar>
            <w:vAlign w:val="center"/>
          </w:tcPr>
          <w:p>
            <w:pPr>
              <w:autoSpaceDE w:val="0"/>
              <w:autoSpaceDN w:val="0"/>
              <w:jc w:val="center"/>
              <w:rPr>
                <w:snapToGrid w:val="0"/>
                <w:color w:val="auto"/>
                <w:sz w:val="24"/>
                <w:highlight w:val="none"/>
              </w:rPr>
            </w:pPr>
            <w:r>
              <w:rPr>
                <w:rFonts w:hint="eastAsia"/>
                <w:snapToGrid w:val="0"/>
                <w:color w:val="auto"/>
                <w:sz w:val="24"/>
                <w:highlight w:val="none"/>
              </w:rPr>
              <w:t>下降</w:t>
            </w:r>
            <w:r>
              <w:rPr>
                <w:snapToGrid w:val="0"/>
                <w:color w:val="auto"/>
                <w:sz w:val="24"/>
                <w:highlight w:val="none"/>
              </w:rPr>
              <w:t>2</w:t>
            </w:r>
            <w:r>
              <w:rPr>
                <w:rFonts w:hint="eastAsia"/>
                <w:snapToGrid w:val="0"/>
                <w:color w:val="auto"/>
                <w:sz w:val="24"/>
                <w:highlight w:val="none"/>
                <w:lang w:val="en-US" w:eastAsia="zh-CN"/>
              </w:rPr>
              <w:t>5</w:t>
            </w:r>
            <w:r>
              <w:rPr>
                <w:snapToGrid w:val="0"/>
                <w:color w:val="auto"/>
                <w:sz w:val="24"/>
                <w:highlight w:val="none"/>
              </w:rPr>
              <w:t>%</w:t>
            </w:r>
          </w:p>
        </w:tc>
      </w:tr>
      <w:tr>
        <w:tblPrEx>
          <w:tblCellMar>
            <w:top w:w="0" w:type="dxa"/>
            <w:left w:w="0" w:type="dxa"/>
            <w:bottom w:w="0" w:type="dxa"/>
            <w:right w:w="0" w:type="dxa"/>
          </w:tblCellMar>
        </w:tblPrEx>
        <w:trPr>
          <w:trHeight w:val="480" w:hRule="atLeast"/>
        </w:trPr>
        <w:tc>
          <w:tcPr>
            <w:tcW w:w="959" w:type="dxa"/>
            <w:tcBorders>
              <w:top w:val="single" w:color="auto" w:sz="8" w:space="0"/>
              <w:left w:val="single" w:color="auto" w:sz="4" w:space="0"/>
              <w:bottom w:val="single" w:color="auto" w:sz="8" w:space="0"/>
              <w:right w:val="single" w:color="auto" w:sz="8" w:space="0"/>
            </w:tcBorders>
            <w:tcMar>
              <w:left w:w="0" w:type="dxa"/>
            </w:tcMar>
            <w:vAlign w:val="center"/>
          </w:tcPr>
          <w:p>
            <w:pPr>
              <w:autoSpaceDE w:val="0"/>
              <w:autoSpaceDN w:val="0"/>
              <w:spacing w:line="460" w:lineRule="exact"/>
              <w:ind w:firstLine="360" w:firstLineChars="150"/>
              <w:contextualSpacing/>
              <w:jc w:val="both"/>
              <w:rPr>
                <w:rFonts w:hAnsi="仿宋"/>
                <w:color w:val="auto"/>
                <w:sz w:val="24"/>
                <w:szCs w:val="24"/>
                <w:highlight w:val="none"/>
              </w:rPr>
            </w:pPr>
            <w:r>
              <w:rPr>
                <w:rFonts w:hAnsi="仿宋"/>
                <w:color w:val="auto"/>
                <w:sz w:val="24"/>
                <w:szCs w:val="24"/>
                <w:highlight w:val="none"/>
              </w:rPr>
              <w:t>5</w:t>
            </w:r>
          </w:p>
        </w:tc>
        <w:tc>
          <w:tcPr>
            <w:tcW w:w="4959" w:type="dxa"/>
            <w:tcBorders>
              <w:top w:val="single" w:color="auto" w:sz="8" w:space="0"/>
              <w:left w:val="single" w:color="auto" w:sz="8" w:space="0"/>
              <w:bottom w:val="single" w:color="auto" w:sz="8" w:space="0"/>
              <w:right w:val="single" w:color="auto" w:sz="8" w:space="0"/>
            </w:tcBorders>
            <w:tcMar>
              <w:left w:w="113" w:type="dxa"/>
            </w:tcMar>
            <w:vAlign w:val="center"/>
          </w:tcPr>
          <w:p>
            <w:pPr>
              <w:autoSpaceDE w:val="0"/>
              <w:autoSpaceDN w:val="0"/>
              <w:jc w:val="left"/>
              <w:rPr>
                <w:rFonts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运营车辆万车死亡率</w:t>
            </w:r>
          </w:p>
        </w:tc>
        <w:tc>
          <w:tcPr>
            <w:tcW w:w="2519" w:type="dxa"/>
            <w:tcBorders>
              <w:top w:val="single" w:color="auto" w:sz="8" w:space="0"/>
              <w:left w:val="single" w:color="auto" w:sz="8" w:space="0"/>
              <w:bottom w:val="single" w:color="auto" w:sz="8" w:space="0"/>
              <w:right w:val="single" w:color="auto" w:sz="8" w:space="0"/>
            </w:tcBorders>
            <w:tcMar>
              <w:left w:w="0" w:type="dxa"/>
            </w:tcMar>
            <w:vAlign w:val="center"/>
          </w:tcPr>
          <w:p>
            <w:pPr>
              <w:autoSpaceDE w:val="0"/>
              <w:autoSpaceDN w:val="0"/>
              <w:jc w:val="center"/>
              <w:rPr>
                <w:snapToGrid w:val="0"/>
                <w:color w:val="auto"/>
                <w:sz w:val="24"/>
                <w:highlight w:val="none"/>
              </w:rPr>
            </w:pPr>
            <w:r>
              <w:rPr>
                <w:rFonts w:hint="eastAsia"/>
                <w:snapToGrid w:val="0"/>
                <w:color w:val="auto"/>
                <w:sz w:val="24"/>
                <w:highlight w:val="none"/>
              </w:rPr>
              <w:t>下降1</w:t>
            </w:r>
            <w:r>
              <w:rPr>
                <w:snapToGrid w:val="0"/>
                <w:color w:val="auto"/>
                <w:sz w:val="24"/>
                <w:highlight w:val="none"/>
              </w:rPr>
              <w:t>0%</w:t>
            </w:r>
          </w:p>
        </w:tc>
      </w:tr>
    </w:tbl>
    <w:p>
      <w:pPr>
        <w:snapToGrid w:val="0"/>
        <w:spacing w:line="580" w:lineRule="exact"/>
        <w:jc w:val="center"/>
        <w:rPr>
          <w:rFonts w:hint="eastAsia" w:ascii="楷体_GB2312" w:hAnsi="宋体" w:eastAsia="楷体_GB2312" w:cs="宋体"/>
          <w:b/>
          <w:bCs/>
          <w:color w:val="auto"/>
          <w:sz w:val="28"/>
          <w:szCs w:val="28"/>
          <w:highlight w:val="none"/>
        </w:rPr>
      </w:pPr>
    </w:p>
    <w:p>
      <w:pPr>
        <w:snapToGrid w:val="0"/>
        <w:spacing w:line="580" w:lineRule="exact"/>
        <w:jc w:val="center"/>
        <w:rPr>
          <w:rFonts w:hint="eastAsia" w:ascii="楷体_GB2312" w:hAnsi="宋体" w:eastAsia="楷体_GB2312" w:cs="宋体"/>
          <w:b/>
          <w:bCs/>
          <w:color w:val="auto"/>
          <w:sz w:val="28"/>
          <w:szCs w:val="28"/>
          <w:highlight w:val="none"/>
        </w:rPr>
      </w:pPr>
    </w:p>
    <w:p>
      <w:pPr>
        <w:snapToGrid w:val="0"/>
        <w:spacing w:line="580" w:lineRule="exact"/>
        <w:jc w:val="center"/>
        <w:rPr>
          <w:rFonts w:hint="eastAsia" w:ascii="楷体_GB2312" w:hAnsi="宋体" w:eastAsia="楷体_GB2312" w:cs="宋体"/>
          <w:b/>
          <w:bCs/>
          <w:color w:val="auto"/>
          <w:sz w:val="28"/>
          <w:szCs w:val="28"/>
          <w:highlight w:val="none"/>
        </w:rPr>
      </w:pPr>
    </w:p>
    <w:p>
      <w:pPr>
        <w:snapToGrid w:val="0"/>
        <w:spacing w:line="580" w:lineRule="exact"/>
        <w:jc w:val="center"/>
        <w:rPr>
          <w:rFonts w:hint="eastAsia" w:ascii="楷体_GB2312" w:hAnsi="宋体" w:eastAsia="楷体_GB2312" w:cs="宋体"/>
          <w:b/>
          <w:bCs/>
          <w:color w:val="auto"/>
          <w:sz w:val="28"/>
          <w:szCs w:val="28"/>
          <w:highlight w:val="none"/>
        </w:rPr>
      </w:pPr>
    </w:p>
    <w:p>
      <w:pPr>
        <w:snapToGrid w:val="0"/>
        <w:spacing w:line="580" w:lineRule="exact"/>
        <w:jc w:val="both"/>
        <w:rPr>
          <w:rFonts w:hint="eastAsia" w:ascii="楷体_GB2312" w:hAnsi="宋体" w:eastAsia="楷体_GB2312" w:cs="宋体"/>
          <w:b/>
          <w:bCs/>
          <w:color w:val="auto"/>
          <w:sz w:val="28"/>
          <w:szCs w:val="28"/>
          <w:highlight w:val="none"/>
        </w:rPr>
      </w:pPr>
    </w:p>
    <w:p>
      <w:pPr>
        <w:snapToGrid w:val="0"/>
        <w:spacing w:line="580" w:lineRule="exact"/>
        <w:jc w:val="center"/>
        <w:rPr>
          <w:rFonts w:hint="eastAsia" w:ascii="楷体_GB2312" w:hAnsi="宋体" w:eastAsia="楷体_GB2312" w:cs="宋体"/>
          <w:b/>
          <w:bCs/>
          <w:color w:val="auto"/>
          <w:sz w:val="28"/>
          <w:szCs w:val="28"/>
          <w:highlight w:val="none"/>
        </w:rPr>
      </w:pPr>
      <w:r>
        <w:rPr>
          <w:rFonts w:hint="eastAsia" w:ascii="楷体_GB2312" w:hAnsi="宋体" w:eastAsia="楷体_GB2312" w:cs="宋体"/>
          <w:b/>
          <w:bCs/>
          <w:color w:val="auto"/>
          <w:sz w:val="28"/>
          <w:szCs w:val="28"/>
          <w:highlight w:val="none"/>
        </w:rPr>
        <w:t>“十四五”应急管理管理体系</w:t>
      </w:r>
      <w:r>
        <w:rPr>
          <w:rFonts w:hint="eastAsia" w:ascii="楷体_GB2312" w:hAnsi="宋体" w:eastAsia="楷体_GB2312" w:cs="宋体"/>
          <w:b/>
          <w:bCs/>
          <w:color w:val="auto"/>
          <w:sz w:val="28"/>
          <w:szCs w:val="28"/>
          <w:highlight w:val="none"/>
          <w:lang w:eastAsia="zh-CN"/>
        </w:rPr>
        <w:t>和能力</w:t>
      </w:r>
      <w:r>
        <w:rPr>
          <w:rFonts w:hint="eastAsia" w:ascii="楷体_GB2312" w:hAnsi="宋体" w:eastAsia="楷体_GB2312" w:cs="宋体"/>
          <w:b/>
          <w:bCs/>
          <w:color w:val="auto"/>
          <w:sz w:val="28"/>
          <w:szCs w:val="28"/>
          <w:highlight w:val="none"/>
        </w:rPr>
        <w:t>建设核心指标</w:t>
      </w:r>
    </w:p>
    <w:tbl>
      <w:tblPr>
        <w:tblStyle w:val="17"/>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5326"/>
        <w:gridCol w:w="1225"/>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16" w:type="dxa"/>
            <w:vAlign w:val="center"/>
          </w:tcPr>
          <w:p>
            <w:pPr>
              <w:autoSpaceDE w:val="0"/>
              <w:autoSpaceDN w:val="0"/>
              <w:spacing w:line="460" w:lineRule="exact"/>
              <w:contextualSpacing/>
              <w:jc w:val="center"/>
              <w:rPr>
                <w:rFonts w:hint="eastAsia" w:hAnsi="仿宋" w:cs="宋体"/>
                <w:b/>
                <w:color w:val="auto"/>
                <w:sz w:val="24"/>
                <w:szCs w:val="24"/>
                <w:highlight w:val="none"/>
              </w:rPr>
            </w:pPr>
            <w:r>
              <w:rPr>
                <w:rFonts w:hint="eastAsia" w:hAnsi="仿宋" w:cs="宋体"/>
                <w:b/>
                <w:color w:val="auto"/>
                <w:sz w:val="24"/>
                <w:szCs w:val="24"/>
                <w:highlight w:val="none"/>
              </w:rPr>
              <w:t>序号</w:t>
            </w:r>
          </w:p>
        </w:tc>
        <w:tc>
          <w:tcPr>
            <w:tcW w:w="5326" w:type="dxa"/>
            <w:vAlign w:val="center"/>
          </w:tcPr>
          <w:p>
            <w:pPr>
              <w:autoSpaceDE w:val="0"/>
              <w:autoSpaceDN w:val="0"/>
              <w:spacing w:line="460" w:lineRule="exact"/>
              <w:contextualSpacing/>
              <w:jc w:val="center"/>
              <w:rPr>
                <w:rFonts w:hint="eastAsia" w:hAnsi="仿宋" w:cs="宋体"/>
                <w:b/>
                <w:color w:val="auto"/>
                <w:sz w:val="24"/>
                <w:szCs w:val="24"/>
                <w:highlight w:val="none"/>
              </w:rPr>
            </w:pPr>
            <w:r>
              <w:rPr>
                <w:rFonts w:hint="eastAsia" w:hAnsi="仿宋" w:cs="宋体"/>
                <w:b/>
                <w:color w:val="auto"/>
                <w:sz w:val="24"/>
                <w:szCs w:val="24"/>
                <w:highlight w:val="none"/>
              </w:rPr>
              <w:t>指标内容</w:t>
            </w:r>
          </w:p>
        </w:tc>
        <w:tc>
          <w:tcPr>
            <w:tcW w:w="1225" w:type="dxa"/>
            <w:vAlign w:val="center"/>
          </w:tcPr>
          <w:p>
            <w:pPr>
              <w:autoSpaceDE w:val="0"/>
              <w:autoSpaceDN w:val="0"/>
              <w:spacing w:line="460" w:lineRule="exact"/>
              <w:contextualSpacing/>
              <w:jc w:val="center"/>
              <w:rPr>
                <w:rFonts w:hint="eastAsia" w:hAnsi="仿宋" w:cs="宋体"/>
                <w:b/>
                <w:color w:val="auto"/>
                <w:sz w:val="24"/>
                <w:szCs w:val="24"/>
                <w:highlight w:val="none"/>
              </w:rPr>
            </w:pPr>
            <w:r>
              <w:rPr>
                <w:rFonts w:hint="eastAsia" w:hAnsi="仿宋" w:cs="宋体"/>
                <w:b/>
                <w:color w:val="auto"/>
                <w:sz w:val="24"/>
                <w:szCs w:val="24"/>
                <w:highlight w:val="none"/>
              </w:rPr>
              <w:t>规划目标</w:t>
            </w:r>
          </w:p>
        </w:tc>
        <w:tc>
          <w:tcPr>
            <w:tcW w:w="1331" w:type="dxa"/>
            <w:vAlign w:val="center"/>
          </w:tcPr>
          <w:p>
            <w:pPr>
              <w:autoSpaceDE w:val="0"/>
              <w:autoSpaceDN w:val="0"/>
              <w:spacing w:line="460" w:lineRule="exact"/>
              <w:contextualSpacing/>
              <w:jc w:val="center"/>
              <w:rPr>
                <w:rFonts w:hint="eastAsia" w:hAnsi="仿宋" w:cs="宋体"/>
                <w:b/>
                <w:color w:val="auto"/>
                <w:sz w:val="24"/>
                <w:szCs w:val="24"/>
                <w:highlight w:val="none"/>
              </w:rPr>
            </w:pPr>
            <w:r>
              <w:rPr>
                <w:rFonts w:hint="eastAsia" w:hAnsi="仿宋" w:cs="宋体"/>
                <w:b/>
                <w:color w:val="auto"/>
                <w:sz w:val="24"/>
                <w:szCs w:val="24"/>
                <w:highlight w:val="none"/>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6"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1</w:t>
            </w:r>
          </w:p>
        </w:tc>
        <w:tc>
          <w:tcPr>
            <w:tcW w:w="5326" w:type="dxa"/>
            <w:vAlign w:val="center"/>
          </w:tcPr>
          <w:p>
            <w:pPr>
              <w:autoSpaceDE w:val="0"/>
              <w:autoSpaceDN w:val="0"/>
              <w:jc w:val="left"/>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生产安全事故起数降幅</w:t>
            </w:r>
          </w:p>
        </w:tc>
        <w:tc>
          <w:tcPr>
            <w:tcW w:w="1225"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＞15%</w:t>
            </w:r>
          </w:p>
        </w:tc>
        <w:tc>
          <w:tcPr>
            <w:tcW w:w="1331"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6"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2</w:t>
            </w:r>
          </w:p>
        </w:tc>
        <w:tc>
          <w:tcPr>
            <w:tcW w:w="5326" w:type="dxa"/>
            <w:vAlign w:val="center"/>
          </w:tcPr>
          <w:p>
            <w:pPr>
              <w:autoSpaceDE w:val="0"/>
              <w:autoSpaceDN w:val="0"/>
              <w:jc w:val="left"/>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生产安全事故死亡人数降幅</w:t>
            </w:r>
          </w:p>
        </w:tc>
        <w:tc>
          <w:tcPr>
            <w:tcW w:w="1225"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＞15%</w:t>
            </w:r>
          </w:p>
        </w:tc>
        <w:tc>
          <w:tcPr>
            <w:tcW w:w="1331"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6"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3</w:t>
            </w:r>
          </w:p>
        </w:tc>
        <w:tc>
          <w:tcPr>
            <w:tcW w:w="5326" w:type="dxa"/>
            <w:vAlign w:val="center"/>
          </w:tcPr>
          <w:p>
            <w:pPr>
              <w:autoSpaceDE w:val="0"/>
              <w:autoSpaceDN w:val="0"/>
              <w:jc w:val="left"/>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单位国内生产总值生产安全事故死亡率降幅</w:t>
            </w:r>
          </w:p>
        </w:tc>
        <w:tc>
          <w:tcPr>
            <w:tcW w:w="1225"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＞35%</w:t>
            </w:r>
          </w:p>
        </w:tc>
        <w:tc>
          <w:tcPr>
            <w:tcW w:w="1331"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6"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4</w:t>
            </w:r>
          </w:p>
        </w:tc>
        <w:tc>
          <w:tcPr>
            <w:tcW w:w="5326" w:type="dxa"/>
            <w:vAlign w:val="center"/>
          </w:tcPr>
          <w:p>
            <w:pPr>
              <w:autoSpaceDE w:val="0"/>
              <w:autoSpaceDN w:val="0"/>
              <w:jc w:val="left"/>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工矿商贸就业人员十万人生产安全事故死亡率降幅</w:t>
            </w:r>
          </w:p>
        </w:tc>
        <w:tc>
          <w:tcPr>
            <w:tcW w:w="1225"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＞20%</w:t>
            </w:r>
          </w:p>
        </w:tc>
        <w:tc>
          <w:tcPr>
            <w:tcW w:w="1331"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6"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5</w:t>
            </w:r>
          </w:p>
        </w:tc>
        <w:tc>
          <w:tcPr>
            <w:tcW w:w="5326" w:type="dxa"/>
            <w:vAlign w:val="center"/>
          </w:tcPr>
          <w:p>
            <w:pPr>
              <w:autoSpaceDE w:val="0"/>
              <w:autoSpaceDN w:val="0"/>
              <w:jc w:val="left"/>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年均因自然灾害直接经济损失占国内生产总值的比例</w:t>
            </w:r>
          </w:p>
        </w:tc>
        <w:tc>
          <w:tcPr>
            <w:tcW w:w="1225"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＜0.5%</w:t>
            </w:r>
          </w:p>
        </w:tc>
        <w:tc>
          <w:tcPr>
            <w:tcW w:w="1331"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6"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6</w:t>
            </w:r>
          </w:p>
        </w:tc>
        <w:tc>
          <w:tcPr>
            <w:tcW w:w="5326" w:type="dxa"/>
            <w:vAlign w:val="center"/>
          </w:tcPr>
          <w:p>
            <w:pPr>
              <w:autoSpaceDE w:val="0"/>
              <w:autoSpaceDN w:val="0"/>
              <w:jc w:val="left"/>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年均每百万人口因自然灾害死亡率</w:t>
            </w:r>
          </w:p>
        </w:tc>
        <w:tc>
          <w:tcPr>
            <w:tcW w:w="1225"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&lt;0.5</w:t>
            </w:r>
          </w:p>
        </w:tc>
        <w:tc>
          <w:tcPr>
            <w:tcW w:w="1331"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6"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7</w:t>
            </w:r>
          </w:p>
        </w:tc>
        <w:tc>
          <w:tcPr>
            <w:tcW w:w="5326" w:type="dxa"/>
            <w:vAlign w:val="center"/>
          </w:tcPr>
          <w:p>
            <w:pPr>
              <w:autoSpaceDE w:val="0"/>
              <w:autoSpaceDN w:val="0"/>
              <w:jc w:val="left"/>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年均每十万人受灾人次</w:t>
            </w:r>
          </w:p>
        </w:tc>
        <w:tc>
          <w:tcPr>
            <w:tcW w:w="1225"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＜5000</w:t>
            </w:r>
          </w:p>
        </w:tc>
        <w:tc>
          <w:tcPr>
            <w:tcW w:w="1331" w:type="dxa"/>
            <w:vAlign w:val="center"/>
          </w:tcPr>
          <w:p>
            <w:pPr>
              <w:autoSpaceDE w:val="0"/>
              <w:autoSpaceDN w:val="0"/>
              <w:jc w:val="center"/>
              <w:rPr>
                <w:rFonts w:hint="eastAsia" w:ascii="方正仿宋_GBK" w:hAnsi="方正仿宋_GBK" w:cs="方正仿宋_GBK"/>
                <w:snapToGrid w:val="0"/>
                <w:color w:val="auto"/>
                <w:sz w:val="24"/>
                <w:highlight w:val="none"/>
              </w:rPr>
            </w:pPr>
            <w:r>
              <w:rPr>
                <w:rFonts w:hint="eastAsia" w:ascii="方正仿宋_GBK" w:hAnsi="方正仿宋_GBK" w:cs="方正仿宋_GBK"/>
                <w:snapToGrid w:val="0"/>
                <w:color w:val="auto"/>
                <w:sz w:val="24"/>
                <w:highlight w:val="none"/>
              </w:rPr>
              <w:t>预期性</w:t>
            </w:r>
          </w:p>
        </w:tc>
      </w:tr>
    </w:tbl>
    <w:p>
      <w:pPr>
        <w:pStyle w:val="3"/>
        <w:pageBreakBefore w:val="0"/>
        <w:widowControl w:val="0"/>
        <w:kinsoku/>
        <w:wordWrap/>
        <w:overflowPunct/>
        <w:topLinePunct w:val="0"/>
        <w:autoSpaceDE/>
        <w:autoSpaceDN/>
        <w:bidi w:val="0"/>
        <w:spacing w:beforeLines="0" w:afterLines="0" w:line="560" w:lineRule="exact"/>
        <w:ind w:left="0" w:leftChars="0" w:firstLine="640" w:firstLineChars="200"/>
        <w:jc w:val="both"/>
        <w:textAlignment w:val="auto"/>
        <w:rPr>
          <w:rFonts w:hint="eastAsia"/>
          <w:b w:val="0"/>
          <w:bCs w:val="0"/>
          <w:color w:val="auto"/>
          <w:sz w:val="32"/>
          <w:szCs w:val="32"/>
        </w:rPr>
      </w:pPr>
      <w:bookmarkStart w:id="29" w:name="_Toc29247"/>
      <w:r>
        <w:rPr>
          <w:rFonts w:hint="eastAsia"/>
          <w:b w:val="0"/>
          <w:bCs w:val="0"/>
          <w:color w:val="auto"/>
          <w:sz w:val="32"/>
          <w:szCs w:val="32"/>
        </w:rPr>
        <w:t>三、主要任务</w:t>
      </w:r>
      <w:bookmarkEnd w:id="27"/>
      <w:bookmarkEnd w:id="28"/>
      <w:bookmarkEnd w:id="29"/>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30" w:name="_Toc6524"/>
      <w:bookmarkStart w:id="31" w:name="_Toc78467533"/>
      <w:r>
        <w:rPr>
          <w:rFonts w:hint="eastAsia" w:ascii="Times New Roman" w:hAnsi="Times New Roman" w:cs="Times New Roman"/>
          <w:b w:val="0"/>
          <w:bCs w:val="0"/>
          <w:color w:val="auto"/>
          <w:kern w:val="2"/>
          <w:szCs w:val="30"/>
        </w:rPr>
        <w:t>（一）强化</w:t>
      </w:r>
      <w:r>
        <w:rPr>
          <w:rFonts w:ascii="Times New Roman" w:hAnsi="Times New Roman" w:cs="Times New Roman"/>
          <w:b w:val="0"/>
          <w:bCs w:val="0"/>
          <w:color w:val="auto"/>
          <w:kern w:val="2"/>
          <w:szCs w:val="30"/>
        </w:rPr>
        <w:t>重点行业</w:t>
      </w:r>
      <w:r>
        <w:rPr>
          <w:rFonts w:hint="eastAsia" w:ascii="Times New Roman" w:hAnsi="Times New Roman" w:cs="Times New Roman"/>
          <w:b w:val="0"/>
          <w:bCs w:val="0"/>
          <w:color w:val="auto"/>
          <w:kern w:val="2"/>
          <w:szCs w:val="30"/>
        </w:rPr>
        <w:t>领域</w:t>
      </w:r>
      <w:r>
        <w:rPr>
          <w:rFonts w:ascii="Times New Roman" w:hAnsi="Times New Roman" w:cs="Times New Roman"/>
          <w:b w:val="0"/>
          <w:bCs w:val="0"/>
          <w:color w:val="auto"/>
          <w:kern w:val="2"/>
          <w:szCs w:val="30"/>
        </w:rPr>
        <w:t>安全监管</w:t>
      </w:r>
      <w:bookmarkEnd w:id="30"/>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坚持</w:t>
      </w:r>
      <w:r>
        <w:rPr>
          <w:color w:val="auto"/>
          <w:sz w:val="32"/>
          <w:szCs w:val="32"/>
        </w:rPr>
        <w:t>问题导向</w:t>
      </w:r>
      <w:r>
        <w:rPr>
          <w:rFonts w:hint="eastAsia"/>
          <w:color w:val="auto"/>
          <w:sz w:val="32"/>
          <w:szCs w:val="32"/>
        </w:rPr>
        <w:t>、</w:t>
      </w:r>
      <w:r>
        <w:rPr>
          <w:color w:val="auto"/>
          <w:sz w:val="32"/>
          <w:szCs w:val="32"/>
        </w:rPr>
        <w:t>目标导向和结果导向</w:t>
      </w:r>
      <w:r>
        <w:rPr>
          <w:rFonts w:hint="eastAsia"/>
          <w:color w:val="auto"/>
          <w:sz w:val="32"/>
          <w:szCs w:val="32"/>
        </w:rPr>
        <w:t>，</w:t>
      </w:r>
      <w:r>
        <w:rPr>
          <w:color w:val="auto"/>
          <w:sz w:val="32"/>
          <w:szCs w:val="32"/>
        </w:rPr>
        <w:t>按照</w:t>
      </w:r>
      <w:r>
        <w:rPr>
          <w:rFonts w:hint="eastAsia"/>
          <w:color w:val="auto"/>
          <w:sz w:val="32"/>
          <w:szCs w:val="32"/>
        </w:rPr>
        <w:t>“两个不放松”和“务必整出成效”，持续深化三年专项整治行动。</w:t>
      </w:r>
    </w:p>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color w:val="auto"/>
        </w:rPr>
      </w:pPr>
      <w:r>
        <w:rPr>
          <w:rFonts w:hint="eastAsia"/>
          <w:color w:val="auto"/>
        </w:rPr>
        <w:t>1.化工</w:t>
      </w:r>
      <w:r>
        <w:rPr>
          <w:color w:val="auto"/>
        </w:rPr>
        <w:t>及</w:t>
      </w:r>
      <w:r>
        <w:rPr>
          <w:rFonts w:hint="eastAsia"/>
          <w:color w:val="auto"/>
        </w:rPr>
        <w:t>危险化学品领域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color w:val="auto"/>
          <w:sz w:val="32"/>
          <w:szCs w:val="32"/>
        </w:rPr>
        <w:t>优化产业布局，</w:t>
      </w:r>
      <w:r>
        <w:rPr>
          <w:rFonts w:hint="eastAsia"/>
          <w:color w:val="auto"/>
          <w:sz w:val="32"/>
          <w:szCs w:val="32"/>
        </w:rPr>
        <w:t>推进危险化学品领域专项整治，严格安全许可，强化“两重点一重大”安全风险管控。依托危险化学品重大危险源安全风险监测预警平台，全面摸排危险化学品全链条安全风险，建立危险化学品安全风险数据库，全面动态管控危险化学品安全风险</w:t>
      </w:r>
      <w:r>
        <w:rPr>
          <w:color w:val="auto"/>
          <w:sz w:val="32"/>
          <w:szCs w:val="32"/>
        </w:rPr>
        <w:t>。在危险化学品生产、储存装置，特别是在重大危险源和重点监管危险工艺装置中，全面安装改进自动化安全控制系统。对照危险化学品领域重大生产安全事故隐患判定标准，强化隐患排查治理，提升</w:t>
      </w:r>
      <w:r>
        <w:rPr>
          <w:rFonts w:hint="eastAsia"/>
          <w:color w:val="auto"/>
          <w:sz w:val="32"/>
          <w:szCs w:val="32"/>
        </w:rPr>
        <w:t>化工和</w:t>
      </w:r>
      <w:r>
        <w:rPr>
          <w:color w:val="auto"/>
          <w:sz w:val="32"/>
          <w:szCs w:val="32"/>
        </w:rPr>
        <w:t>危险化学品领域安全风险管控能力。</w:t>
      </w:r>
    </w:p>
    <w:tbl>
      <w:tblPr>
        <w:tblStyle w:val="17"/>
        <w:tblW w:w="8316" w:type="dxa"/>
        <w:tblInd w:w="112" w:type="dxa"/>
        <w:tblLayout w:type="fixed"/>
        <w:tblCellMar>
          <w:top w:w="0" w:type="dxa"/>
          <w:left w:w="10" w:type="dxa"/>
          <w:bottom w:w="0" w:type="dxa"/>
          <w:right w:w="10" w:type="dxa"/>
        </w:tblCellMar>
      </w:tblPr>
      <w:tblGrid>
        <w:gridCol w:w="8316"/>
      </w:tblGrid>
      <w:tr>
        <w:tblPrEx>
          <w:tblCellMar>
            <w:top w:w="0" w:type="dxa"/>
            <w:left w:w="10" w:type="dxa"/>
            <w:bottom w:w="0" w:type="dxa"/>
            <w:right w:w="10" w:type="dxa"/>
          </w:tblCellMar>
        </w:tblPrEx>
        <w:trPr>
          <w:trHeight w:val="567" w:hRule="atLeast"/>
        </w:trPr>
        <w:tc>
          <w:tcPr>
            <w:tcW w:w="8316"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jc w:val="center"/>
              <w:rPr>
                <w:szCs w:val="22"/>
                <w:lang w:bidi="zh-CN"/>
              </w:rPr>
            </w:pPr>
            <w:r>
              <w:rPr>
                <w:rFonts w:hint="eastAsia" w:eastAsia="黑体"/>
                <w:sz w:val="28"/>
                <w:szCs w:val="28"/>
              </w:rPr>
              <w:t>专栏1</w:t>
            </w:r>
            <w:r>
              <w:rPr>
                <w:rFonts w:hint="eastAsia" w:eastAsia="黑体"/>
                <w:sz w:val="28"/>
                <w:szCs w:val="28"/>
                <w:lang w:val="en-US" w:eastAsia="zh-CN"/>
              </w:rPr>
              <w:t xml:space="preserve">  </w:t>
            </w:r>
            <w:r>
              <w:rPr>
                <w:rFonts w:hint="eastAsia" w:eastAsia="黑体"/>
                <w:sz w:val="28"/>
                <w:szCs w:val="28"/>
              </w:rPr>
              <w:t>危险化学品</w:t>
            </w:r>
            <w:r>
              <w:rPr>
                <w:rFonts w:eastAsia="黑体"/>
                <w:sz w:val="28"/>
                <w:szCs w:val="28"/>
              </w:rPr>
              <w:t>安全</w:t>
            </w:r>
            <w:r>
              <w:rPr>
                <w:rFonts w:hint="eastAsia" w:eastAsia="黑体"/>
                <w:sz w:val="28"/>
                <w:szCs w:val="28"/>
              </w:rPr>
              <w:t>生产</w:t>
            </w:r>
          </w:p>
        </w:tc>
      </w:tr>
      <w:tr>
        <w:tblPrEx>
          <w:tblCellMar>
            <w:top w:w="0" w:type="dxa"/>
            <w:left w:w="10" w:type="dxa"/>
            <w:bottom w:w="0" w:type="dxa"/>
            <w:right w:w="10" w:type="dxa"/>
          </w:tblCellMar>
        </w:tblPrEx>
        <w:tc>
          <w:tcPr>
            <w:tcW w:w="83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0" w:firstLineChars="200"/>
              <w:rPr>
                <w:rFonts w:ascii="楷体_GB2312" w:eastAsia="楷体_GB2312"/>
                <w:color w:val="auto"/>
                <w:sz w:val="24"/>
              </w:rPr>
            </w:pPr>
            <w:r>
              <w:rPr>
                <w:rFonts w:hint="eastAsia" w:ascii="楷体_GB2312" w:eastAsia="楷体_GB2312"/>
                <w:color w:val="auto"/>
                <w:sz w:val="24"/>
              </w:rPr>
              <w:t>1.到</w:t>
            </w:r>
            <w:r>
              <w:rPr>
                <w:rFonts w:ascii="楷体_GB2312" w:eastAsia="楷体_GB2312"/>
                <w:color w:val="auto"/>
                <w:sz w:val="24"/>
              </w:rPr>
              <w:t>2022年</w:t>
            </w:r>
            <w:r>
              <w:rPr>
                <w:rFonts w:hint="eastAsia" w:ascii="楷体_GB2312" w:eastAsia="楷体_GB2312"/>
                <w:color w:val="auto"/>
                <w:sz w:val="24"/>
              </w:rPr>
              <w:t>，</w:t>
            </w:r>
            <w:r>
              <w:rPr>
                <w:rFonts w:ascii="楷体_GB2312" w:eastAsia="楷体_GB2312"/>
                <w:color w:val="auto"/>
                <w:sz w:val="24"/>
              </w:rPr>
              <w:t>涉及危险化学品重大危险源的企业全面完成以安全风险分级管控和隐患排查治理为重点的</w:t>
            </w:r>
            <w:r>
              <w:rPr>
                <w:rFonts w:hint="eastAsia" w:ascii="楷体_GB2312" w:eastAsia="楷体_GB2312"/>
                <w:color w:val="auto"/>
                <w:sz w:val="24"/>
              </w:rPr>
              <w:t>双重</w:t>
            </w:r>
            <w:r>
              <w:rPr>
                <w:rFonts w:ascii="楷体_GB2312" w:eastAsia="楷体_GB2312"/>
                <w:color w:val="auto"/>
                <w:sz w:val="24"/>
              </w:rPr>
              <w:t>预防控制体系建设</w:t>
            </w:r>
            <w:r>
              <w:rPr>
                <w:rFonts w:hint="eastAsia" w:ascii="楷体_GB2312" w:eastAsia="楷体_GB2312"/>
                <w:color w:val="auto"/>
                <w:sz w:val="24"/>
              </w:rPr>
              <w:t>；</w:t>
            </w:r>
          </w:p>
          <w:p>
            <w:pPr>
              <w:spacing w:line="300" w:lineRule="auto"/>
              <w:ind w:firstLine="480" w:firstLineChars="200"/>
              <w:rPr>
                <w:sz w:val="24"/>
              </w:rPr>
            </w:pPr>
            <w:r>
              <w:rPr>
                <w:rFonts w:hint="eastAsia" w:ascii="楷体_GB2312" w:eastAsia="楷体_GB2312"/>
                <w:color w:val="auto"/>
                <w:sz w:val="24"/>
              </w:rPr>
              <w:t>2.到202</w:t>
            </w:r>
            <w:r>
              <w:rPr>
                <w:rFonts w:hint="eastAsia" w:ascii="楷体_GB2312" w:eastAsia="楷体_GB2312"/>
                <w:color w:val="auto"/>
                <w:sz w:val="24"/>
                <w:lang w:val="en-US" w:eastAsia="zh-CN"/>
              </w:rPr>
              <w:t>2</w:t>
            </w:r>
            <w:r>
              <w:rPr>
                <w:rFonts w:hint="eastAsia" w:ascii="楷体_GB2312" w:eastAsia="楷体_GB2312"/>
                <w:color w:val="auto"/>
                <w:sz w:val="24"/>
              </w:rPr>
              <w:t>年，</w:t>
            </w:r>
            <w:r>
              <w:rPr>
                <w:rFonts w:ascii="楷体_GB2312" w:eastAsia="楷体_GB2312"/>
                <w:color w:val="auto"/>
                <w:sz w:val="24"/>
              </w:rPr>
              <w:t>涉及“两</w:t>
            </w:r>
            <w:r>
              <w:rPr>
                <w:rFonts w:hint="eastAsia" w:ascii="楷体_GB2312" w:eastAsia="楷体_GB2312"/>
                <w:color w:val="auto"/>
                <w:sz w:val="24"/>
              </w:rPr>
              <w:t>重点一重大”生产装置和储</w:t>
            </w:r>
            <w:r>
              <w:rPr>
                <w:rFonts w:hint="eastAsia" w:ascii="楷体_GB2312" w:hAnsi="仿宋_GB2312" w:eastAsia="楷体_GB2312" w:cs="仿宋_GB2312"/>
                <w:color w:val="auto"/>
                <w:sz w:val="24"/>
              </w:rPr>
              <w:t>存设施的自动化系统装备</w:t>
            </w:r>
            <w:r>
              <w:rPr>
                <w:rFonts w:hint="eastAsia" w:ascii="楷体_GB2312" w:eastAsia="楷体_GB2312"/>
                <w:color w:val="auto"/>
                <w:sz w:val="24"/>
              </w:rPr>
              <w:t>投用率达到</w:t>
            </w:r>
            <w:r>
              <w:rPr>
                <w:rFonts w:ascii="楷体_GB2312" w:eastAsia="楷体_GB2312"/>
                <w:color w:val="auto"/>
                <w:sz w:val="24"/>
              </w:rPr>
              <w:t>100%</w:t>
            </w:r>
            <w:r>
              <w:rPr>
                <w:rFonts w:hint="eastAsia" w:ascii="楷体_GB2312" w:eastAsia="楷体_GB2312"/>
                <w:sz w:val="24"/>
              </w:rPr>
              <w:t>。</w:t>
            </w:r>
          </w:p>
        </w:tc>
      </w:tr>
    </w:tbl>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color w:val="auto"/>
        </w:rPr>
      </w:pPr>
      <w:r>
        <w:rPr>
          <w:rFonts w:hint="eastAsia"/>
          <w:color w:val="auto"/>
          <w:lang w:val="en-US" w:eastAsia="zh-CN"/>
        </w:rPr>
        <w:t>2.</w:t>
      </w:r>
      <w:r>
        <w:rPr>
          <w:rFonts w:hint="eastAsia"/>
          <w:color w:val="auto"/>
        </w:rPr>
        <w:t>交通运输领域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sz w:val="32"/>
          <w:szCs w:val="32"/>
          <w:lang w:val="en-US" w:eastAsia="zh-CN"/>
        </w:rPr>
      </w:pPr>
      <w:r>
        <w:rPr>
          <w:rFonts w:hint="eastAsia"/>
          <w:color w:val="auto"/>
          <w:sz w:val="32"/>
          <w:szCs w:val="32"/>
          <w:lang w:val="en-US" w:eastAsia="zh-CN"/>
        </w:rPr>
        <w:t>完善道路交通安全设施，实施区街道路段的安全生命防护工程建设，加强公路超限超载违法行为治理。开展桥梁防碰撞专项整治活动，组织桥梁建设、运营或管理单位对桥梁通航净空尺度和抗击船舶碰撞能力进行评估。强制长途客运车辆、旅游客车、危险物品运输车辆和船舶安装智能视频监控报警、防碰撞和整车整船安全运行监管技术装备，加快安全技术装备改造升级。探索建立危险货物道路运输全链条监管机制，提升危险货物常规通行线路等重点路段道路交通安全设施。加强对外埠危险货物运输车辆在我区经营以及过境车辆的管控、严格开展危险货物罐式车辆罐体检验核查。开展危险货物运输车辆停车场地建设、危险货物运输车辆过境通道建设的研究。</w:t>
      </w:r>
    </w:p>
    <w:tbl>
      <w:tblPr>
        <w:tblStyle w:val="17"/>
        <w:tblW w:w="8300" w:type="dxa"/>
        <w:tblInd w:w="112" w:type="dxa"/>
        <w:tblLayout w:type="fixed"/>
        <w:tblCellMar>
          <w:top w:w="0" w:type="dxa"/>
          <w:left w:w="10" w:type="dxa"/>
          <w:bottom w:w="0" w:type="dxa"/>
          <w:right w:w="10" w:type="dxa"/>
        </w:tblCellMar>
      </w:tblPr>
      <w:tblGrid>
        <w:gridCol w:w="8300"/>
      </w:tblGrid>
      <w:tr>
        <w:tblPrEx>
          <w:tblCellMar>
            <w:top w:w="0" w:type="dxa"/>
            <w:left w:w="10" w:type="dxa"/>
            <w:bottom w:w="0" w:type="dxa"/>
            <w:right w:w="10" w:type="dxa"/>
          </w:tblCellMar>
        </w:tblPrEx>
        <w:trPr>
          <w:trHeight w:val="567" w:hRule="atLeast"/>
        </w:trPr>
        <w:tc>
          <w:tcPr>
            <w:tcW w:w="8300"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jc w:val="center"/>
              <w:rPr>
                <w:szCs w:val="22"/>
                <w:lang w:bidi="zh-CN"/>
              </w:rPr>
            </w:pPr>
            <w:r>
              <w:rPr>
                <w:rFonts w:hint="eastAsia" w:eastAsia="黑体"/>
                <w:sz w:val="28"/>
                <w:szCs w:val="28"/>
              </w:rPr>
              <w:t>专栏</w:t>
            </w:r>
            <w:r>
              <w:rPr>
                <w:rFonts w:hint="eastAsia" w:eastAsia="黑体"/>
                <w:sz w:val="28"/>
                <w:szCs w:val="28"/>
                <w:lang w:val="en-US" w:eastAsia="zh-CN"/>
              </w:rPr>
              <w:t xml:space="preserve">2  </w:t>
            </w:r>
            <w:r>
              <w:rPr>
                <w:rFonts w:hint="eastAsia" w:eastAsia="黑体"/>
                <w:sz w:val="28"/>
                <w:szCs w:val="28"/>
              </w:rPr>
              <w:t>交通安全</w:t>
            </w:r>
          </w:p>
        </w:tc>
      </w:tr>
      <w:tr>
        <w:tblPrEx>
          <w:tblCellMar>
            <w:top w:w="0" w:type="dxa"/>
            <w:left w:w="10" w:type="dxa"/>
            <w:bottom w:w="0" w:type="dxa"/>
            <w:right w:w="10" w:type="dxa"/>
          </w:tblCellMar>
        </w:tblPrEx>
        <w:tc>
          <w:tcPr>
            <w:tcW w:w="83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0" w:firstLineChars="200"/>
              <w:rPr>
                <w:rFonts w:ascii="楷体_GB2312" w:eastAsia="楷体_GB2312"/>
                <w:sz w:val="24"/>
              </w:rPr>
            </w:pPr>
            <w:r>
              <w:rPr>
                <w:rFonts w:hint="eastAsia" w:ascii="楷体_GB2312" w:eastAsia="楷体_GB2312"/>
                <w:sz w:val="24"/>
              </w:rPr>
              <w:t>1.到</w:t>
            </w:r>
            <w:r>
              <w:rPr>
                <w:rFonts w:ascii="楷体_GB2312" w:eastAsia="楷体_GB2312"/>
                <w:sz w:val="24"/>
              </w:rPr>
              <w:t>2023年</w:t>
            </w:r>
            <w:r>
              <w:rPr>
                <w:rFonts w:hint="eastAsia" w:ascii="楷体_GB2312" w:eastAsia="楷体_GB2312"/>
                <w:sz w:val="24"/>
              </w:rPr>
              <w:t>，</w:t>
            </w:r>
            <w:r>
              <w:rPr>
                <w:rFonts w:ascii="楷体_GB2312" w:eastAsia="楷体_GB2312"/>
                <w:sz w:val="24"/>
              </w:rPr>
              <w:t>危险货物运输车辆全部安装远程提醒监控系统</w:t>
            </w:r>
            <w:r>
              <w:rPr>
                <w:rFonts w:hint="eastAsia" w:ascii="楷体_GB2312" w:eastAsia="楷体_GB2312"/>
                <w:sz w:val="24"/>
              </w:rPr>
              <w:t>；</w:t>
            </w:r>
          </w:p>
          <w:p>
            <w:pPr>
              <w:spacing w:line="300" w:lineRule="auto"/>
              <w:ind w:firstLine="480" w:firstLineChars="200"/>
              <w:rPr>
                <w:rFonts w:ascii="楷体_GB2312" w:eastAsia="楷体_GB2312"/>
                <w:sz w:val="24"/>
              </w:rPr>
            </w:pPr>
            <w:r>
              <w:rPr>
                <w:rFonts w:hint="eastAsia" w:ascii="楷体_GB2312" w:eastAsia="楷体_GB2312"/>
                <w:sz w:val="24"/>
              </w:rPr>
              <w:t>2.到2025年</w:t>
            </w:r>
            <w:r>
              <w:rPr>
                <w:rFonts w:ascii="楷体_GB2312" w:eastAsia="楷体_GB2312"/>
                <w:sz w:val="24"/>
              </w:rPr>
              <w:t>，</w:t>
            </w:r>
            <w:r>
              <w:rPr>
                <w:rFonts w:hint="eastAsia" w:ascii="楷体_GB2312" w:eastAsia="楷体_GB2312"/>
                <w:sz w:val="24"/>
              </w:rPr>
              <w:t>危险货物道路运输电子运单使用率指标</w:t>
            </w:r>
            <w:r>
              <w:rPr>
                <w:rFonts w:hint="eastAsia" w:ascii="楷体_GB2312" w:eastAsia="楷体_GB2312"/>
                <w:sz w:val="24"/>
                <w:lang w:eastAsia="zh-CN"/>
              </w:rPr>
              <w:t>达</w:t>
            </w:r>
            <w:r>
              <w:rPr>
                <w:rFonts w:hint="eastAsia" w:ascii="楷体_GB2312" w:eastAsia="楷体_GB2312"/>
                <w:color w:val="000000" w:themeColor="text1"/>
                <w:sz w:val="24"/>
                <w14:textFill>
                  <w14:solidFill>
                    <w14:schemeClr w14:val="tx1"/>
                  </w14:solidFill>
                </w14:textFill>
              </w:rPr>
              <w:t>9</w:t>
            </w:r>
            <w:r>
              <w:rPr>
                <w:rFonts w:ascii="楷体_GB2312" w:eastAsia="楷体_GB2312"/>
                <w:color w:val="000000" w:themeColor="text1"/>
                <w:sz w:val="24"/>
                <w14:textFill>
                  <w14:solidFill>
                    <w14:schemeClr w14:val="tx1"/>
                  </w14:solidFill>
                </w14:textFill>
              </w:rPr>
              <w:t>8</w:t>
            </w:r>
            <w:r>
              <w:rPr>
                <w:rFonts w:hint="eastAsia" w:ascii="楷体_GB2312" w:eastAsia="楷体_GB2312"/>
                <w:color w:val="000000" w:themeColor="text1"/>
                <w:sz w:val="24"/>
                <w14:textFill>
                  <w14:solidFill>
                    <w14:schemeClr w14:val="tx1"/>
                  </w14:solidFill>
                </w14:textFill>
              </w:rPr>
              <w:t>%；</w:t>
            </w:r>
          </w:p>
          <w:p>
            <w:pPr>
              <w:spacing w:line="300" w:lineRule="auto"/>
              <w:ind w:firstLine="480" w:firstLineChars="200"/>
              <w:rPr>
                <w:sz w:val="24"/>
              </w:rPr>
            </w:pPr>
            <w:r>
              <w:rPr>
                <w:rFonts w:hint="eastAsia" w:ascii="楷体_GB2312" w:eastAsia="楷体_GB2312"/>
                <w:sz w:val="24"/>
              </w:rPr>
              <w:t>3.到2025年，乡道及以上行政等级公路安全隐患整改合格率达</w:t>
            </w:r>
            <w:r>
              <w:rPr>
                <w:rFonts w:ascii="楷体_GB2312" w:eastAsia="楷体_GB2312"/>
                <w:sz w:val="24"/>
              </w:rPr>
              <w:t>100%。</w:t>
            </w:r>
          </w:p>
        </w:tc>
      </w:tr>
    </w:tbl>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color w:val="auto"/>
        </w:rPr>
      </w:pPr>
      <w:r>
        <w:rPr>
          <w:rFonts w:hint="eastAsia"/>
          <w:color w:val="auto"/>
          <w:lang w:val="en-US" w:eastAsia="zh-CN"/>
        </w:rPr>
        <w:t>3</w:t>
      </w:r>
      <w:r>
        <w:rPr>
          <w:rFonts w:hint="eastAsia"/>
          <w:color w:val="auto"/>
        </w:rPr>
        <w:t>.建筑施工领域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rPr>
      </w:pPr>
      <w:r>
        <w:rPr>
          <w:rFonts w:hint="eastAsia"/>
          <w:color w:val="auto"/>
          <w:sz w:val="32"/>
          <w:szCs w:val="32"/>
        </w:rPr>
        <w:t>严格落实建设工程参建各方的安全生产主体责任，强化施工许可、现场作业等环节安全监管，提高施工安全保障条件。进一步强化建筑施工企业职工安全教育和培训，确保</w:t>
      </w:r>
      <w:r>
        <w:rPr>
          <w:rFonts w:hint="eastAsia"/>
          <w:color w:val="auto"/>
          <w:sz w:val="32"/>
          <w:szCs w:val="32"/>
          <w:lang w:val="en-US" w:eastAsia="zh-CN"/>
        </w:rPr>
        <w:t>特种作业人员</w:t>
      </w:r>
      <w:r>
        <w:rPr>
          <w:rFonts w:hint="eastAsia"/>
          <w:color w:val="auto"/>
          <w:sz w:val="32"/>
          <w:szCs w:val="32"/>
        </w:rPr>
        <w:t>持证上岗。规范建筑施工市场行为，打击违法分包、非法转包，整治高资质中标低水平施工行为。推进建筑施工企业和项目安全标准化。推进城市危房整治、棚户区改造和老旧小区改造出新，继续实施农村危房改造、地震高烈度设防地区农房抗震改造和房屋安全隐患排查整治。开展建设工程起重机械事故专项整治。强化建设施工现场安全管理，严防高处坠落事故。</w:t>
      </w:r>
      <w:r>
        <w:rPr>
          <w:rFonts w:hint="eastAsia"/>
          <w:color w:val="auto"/>
          <w:sz w:val="32"/>
          <w:szCs w:val="32"/>
          <w:lang w:val="en-US" w:eastAsia="zh-CN"/>
        </w:rPr>
        <w:t>推广</w:t>
      </w:r>
      <w:r>
        <w:rPr>
          <w:rFonts w:hint="eastAsia"/>
          <w:color w:val="auto"/>
          <w:sz w:val="32"/>
          <w:szCs w:val="32"/>
        </w:rPr>
        <w:t>智慧工地建设，动态监测预警系统防控起重设备事故</w:t>
      </w:r>
      <w:r>
        <w:rPr>
          <w:rFonts w:hint="eastAsia"/>
          <w:color w:val="auto"/>
          <w:sz w:val="32"/>
          <w:szCs w:val="32"/>
          <w:lang w:eastAsia="zh-CN"/>
        </w:rPr>
        <w:t>。</w:t>
      </w:r>
    </w:p>
    <w:tbl>
      <w:tblPr>
        <w:tblStyle w:val="17"/>
        <w:tblW w:w="8300" w:type="dxa"/>
        <w:tblInd w:w="112" w:type="dxa"/>
        <w:tblLayout w:type="fixed"/>
        <w:tblCellMar>
          <w:top w:w="0" w:type="dxa"/>
          <w:left w:w="10" w:type="dxa"/>
          <w:bottom w:w="0" w:type="dxa"/>
          <w:right w:w="10" w:type="dxa"/>
        </w:tblCellMar>
      </w:tblPr>
      <w:tblGrid>
        <w:gridCol w:w="8300"/>
      </w:tblGrid>
      <w:tr>
        <w:tblPrEx>
          <w:tblCellMar>
            <w:top w:w="0" w:type="dxa"/>
            <w:left w:w="10" w:type="dxa"/>
            <w:bottom w:w="0" w:type="dxa"/>
            <w:right w:w="10" w:type="dxa"/>
          </w:tblCellMar>
        </w:tblPrEx>
        <w:trPr>
          <w:trHeight w:val="567" w:hRule="atLeast"/>
        </w:trPr>
        <w:tc>
          <w:tcPr>
            <w:tcW w:w="8300"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jc w:val="center"/>
              <w:rPr>
                <w:szCs w:val="22"/>
                <w:lang w:bidi="zh-CN"/>
              </w:rPr>
            </w:pPr>
            <w:r>
              <w:rPr>
                <w:rFonts w:hint="eastAsia" w:eastAsia="黑体"/>
                <w:sz w:val="28"/>
                <w:szCs w:val="28"/>
              </w:rPr>
              <w:t>专栏</w:t>
            </w:r>
            <w:r>
              <w:rPr>
                <w:rFonts w:hint="eastAsia" w:eastAsia="黑体"/>
                <w:sz w:val="28"/>
                <w:szCs w:val="28"/>
                <w:lang w:val="en-US" w:eastAsia="zh-CN"/>
              </w:rPr>
              <w:t>3</w:t>
            </w:r>
            <w:r>
              <w:rPr>
                <w:rFonts w:hint="eastAsia" w:eastAsia="黑体"/>
                <w:sz w:val="28"/>
                <w:szCs w:val="28"/>
              </w:rPr>
              <w:t>建筑施工安全生产</w:t>
            </w:r>
          </w:p>
        </w:tc>
      </w:tr>
      <w:tr>
        <w:tblPrEx>
          <w:tblCellMar>
            <w:top w:w="0" w:type="dxa"/>
            <w:left w:w="10" w:type="dxa"/>
            <w:bottom w:w="0" w:type="dxa"/>
            <w:right w:w="10" w:type="dxa"/>
          </w:tblCellMar>
        </w:tblPrEx>
        <w:tc>
          <w:tcPr>
            <w:tcW w:w="83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0" w:firstLineChars="200"/>
              <w:rPr>
                <w:sz w:val="24"/>
              </w:rPr>
            </w:pPr>
            <w:r>
              <w:rPr>
                <w:rFonts w:hint="eastAsia" w:ascii="楷体_GB2312" w:eastAsia="楷体_GB2312"/>
                <w:color w:val="auto"/>
                <w:sz w:val="24"/>
              </w:rPr>
              <w:t>到2025年，</w:t>
            </w:r>
            <w:r>
              <w:rPr>
                <w:rFonts w:ascii="楷体_GB2312" w:eastAsia="楷体_GB2312"/>
                <w:sz w:val="24"/>
              </w:rPr>
              <w:t>建设施工现场视频及大型起重机械安全监控系统安装率100%</w:t>
            </w:r>
            <w:r>
              <w:rPr>
                <w:rFonts w:hint="eastAsia" w:ascii="楷体_GB2312" w:eastAsia="楷体_GB2312"/>
                <w:sz w:val="24"/>
              </w:rPr>
              <w:t>。</w:t>
            </w:r>
          </w:p>
        </w:tc>
      </w:tr>
    </w:tbl>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color w:val="auto"/>
        </w:rPr>
      </w:pPr>
      <w:r>
        <w:rPr>
          <w:rFonts w:hint="eastAsia"/>
          <w:color w:val="auto"/>
          <w:lang w:val="en-US" w:eastAsia="zh-CN"/>
        </w:rPr>
        <w:t>4</w:t>
      </w:r>
      <w:r>
        <w:rPr>
          <w:rFonts w:hint="eastAsia"/>
          <w:color w:val="auto"/>
        </w:rPr>
        <w:t>.城镇燃气</w:t>
      </w:r>
      <w:r>
        <w:rPr>
          <w:color w:val="auto"/>
        </w:rPr>
        <w:t>领域</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olor w:val="auto"/>
          <w:sz w:val="32"/>
          <w:szCs w:val="32"/>
          <w:lang w:eastAsia="zh-CN"/>
        </w:rPr>
      </w:pPr>
      <w:r>
        <w:rPr>
          <w:rFonts w:hint="eastAsia"/>
          <w:color w:val="auto"/>
          <w:sz w:val="32"/>
          <w:szCs w:val="32"/>
        </w:rPr>
        <w:t>规范落实城镇燃气安全相关技术标准规范，督促燃气供应企业落实对用户的安全服务责任，动态排查燃气设施安全隐患，完善燃气事故防范长效机制。瓶装液化气企业要严格落实瓶装液化气购气实名制和配送服务制，实行用户档案管理，并向用户发放供气使用凭证。依法取缔个人经营瓶装液化气，加强部门协同和联合执法，严厉打击无证经营、非法经营、违法充装、掺混二甲醚等违法行为，整顿“黑气”市场，规范瓶装液化气市场秩序。构建完善瓶装液化气全链条监管机制，强化瓶装液化气安全监管信息系统和气瓶充装系统应用，充分发挥系统监管效能，实现“来源可溯、去向可追、责任可究”监管目标。推广安装具有远程传输、泄漏报警和紧急切断三种功能的燃气智能表，督促规范使用燃气泄漏保护装置，督促餐饮经营单位安装使用燃气泄漏安全保护装置并接入信息监控平台，实现餐饮场所燃气安全实时监控和远程报警</w:t>
      </w:r>
      <w:r>
        <w:rPr>
          <w:color w:val="auto"/>
          <w:sz w:val="32"/>
          <w:szCs w:val="32"/>
        </w:rPr>
        <w:t>。</w:t>
      </w:r>
      <w:r>
        <w:rPr>
          <w:rFonts w:hint="eastAsia"/>
          <w:color w:val="auto"/>
          <w:sz w:val="32"/>
          <w:szCs w:val="32"/>
        </w:rPr>
        <w:t>开展安全</w:t>
      </w:r>
      <w:r>
        <w:rPr>
          <w:color w:val="auto"/>
          <w:sz w:val="32"/>
          <w:szCs w:val="32"/>
        </w:rPr>
        <w:t>用气宣传，</w:t>
      </w:r>
      <w:r>
        <w:rPr>
          <w:rFonts w:hint="eastAsia"/>
          <w:color w:val="auto"/>
          <w:sz w:val="32"/>
          <w:szCs w:val="32"/>
        </w:rPr>
        <w:t>普及</w:t>
      </w:r>
      <w:r>
        <w:rPr>
          <w:color w:val="auto"/>
          <w:sz w:val="32"/>
          <w:szCs w:val="32"/>
        </w:rPr>
        <w:t>燃气安全使用知识，</w:t>
      </w:r>
      <w:r>
        <w:rPr>
          <w:rFonts w:hint="eastAsia"/>
          <w:color w:val="auto"/>
          <w:sz w:val="32"/>
          <w:szCs w:val="32"/>
        </w:rPr>
        <w:t>推进</w:t>
      </w:r>
      <w:r>
        <w:rPr>
          <w:color w:val="auto"/>
          <w:sz w:val="32"/>
          <w:szCs w:val="32"/>
        </w:rPr>
        <w:t>老旧管网改造</w:t>
      </w:r>
      <w:r>
        <w:rPr>
          <w:rFonts w:hint="eastAsia"/>
          <w:color w:val="auto"/>
          <w:sz w:val="32"/>
          <w:szCs w:val="32"/>
        </w:rPr>
        <w:t>，燃气管道第三方施工破坏防控，</w:t>
      </w:r>
      <w:r>
        <w:rPr>
          <w:color w:val="auto"/>
          <w:sz w:val="32"/>
          <w:szCs w:val="32"/>
        </w:rPr>
        <w:t>因地制宜</w:t>
      </w:r>
      <w:r>
        <w:rPr>
          <w:rFonts w:hint="eastAsia"/>
          <w:color w:val="auto"/>
          <w:sz w:val="32"/>
          <w:szCs w:val="32"/>
        </w:rPr>
        <w:t>，提高</w:t>
      </w:r>
      <w:r>
        <w:rPr>
          <w:color w:val="auto"/>
          <w:sz w:val="32"/>
          <w:szCs w:val="32"/>
        </w:rPr>
        <w:t>使用安全意识，提升燃气安全事故防范能力。</w:t>
      </w:r>
    </w:p>
    <w:tbl>
      <w:tblPr>
        <w:tblStyle w:val="17"/>
        <w:tblW w:w="8300" w:type="dxa"/>
        <w:tblInd w:w="112" w:type="dxa"/>
        <w:tblLayout w:type="fixed"/>
        <w:tblCellMar>
          <w:top w:w="0" w:type="dxa"/>
          <w:left w:w="10" w:type="dxa"/>
          <w:bottom w:w="0" w:type="dxa"/>
          <w:right w:w="10" w:type="dxa"/>
        </w:tblCellMar>
      </w:tblPr>
      <w:tblGrid>
        <w:gridCol w:w="8300"/>
      </w:tblGrid>
      <w:tr>
        <w:tblPrEx>
          <w:tblCellMar>
            <w:top w:w="0" w:type="dxa"/>
            <w:left w:w="10" w:type="dxa"/>
            <w:bottom w:w="0" w:type="dxa"/>
            <w:right w:w="10" w:type="dxa"/>
          </w:tblCellMar>
        </w:tblPrEx>
        <w:trPr>
          <w:trHeight w:val="567" w:hRule="atLeast"/>
        </w:trPr>
        <w:tc>
          <w:tcPr>
            <w:tcW w:w="8300"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topLinePunct w:val="0"/>
              <w:bidi w:val="0"/>
              <w:spacing w:line="550" w:lineRule="exact"/>
              <w:jc w:val="center"/>
              <w:textAlignment w:val="auto"/>
              <w:rPr>
                <w:szCs w:val="22"/>
                <w:lang w:bidi="zh-CN"/>
              </w:rPr>
            </w:pPr>
            <w:r>
              <w:rPr>
                <w:rFonts w:hint="eastAsia" w:eastAsia="黑体"/>
                <w:sz w:val="28"/>
                <w:szCs w:val="28"/>
              </w:rPr>
              <w:t>专栏</w:t>
            </w:r>
            <w:r>
              <w:rPr>
                <w:rFonts w:hint="eastAsia" w:eastAsia="黑体"/>
                <w:sz w:val="28"/>
                <w:szCs w:val="28"/>
                <w:lang w:val="en-US" w:eastAsia="zh-CN"/>
              </w:rPr>
              <w:t xml:space="preserve">4  </w:t>
            </w:r>
            <w:r>
              <w:rPr>
                <w:rFonts w:hint="eastAsia" w:eastAsia="黑体"/>
                <w:sz w:val="28"/>
                <w:szCs w:val="28"/>
              </w:rPr>
              <w:t>城镇燃气</w:t>
            </w:r>
            <w:r>
              <w:rPr>
                <w:rFonts w:eastAsia="黑体"/>
                <w:sz w:val="28"/>
                <w:szCs w:val="28"/>
              </w:rPr>
              <w:t>安全</w:t>
            </w:r>
          </w:p>
        </w:tc>
      </w:tr>
      <w:tr>
        <w:tblPrEx>
          <w:tblCellMar>
            <w:top w:w="0" w:type="dxa"/>
            <w:left w:w="10" w:type="dxa"/>
            <w:bottom w:w="0" w:type="dxa"/>
            <w:right w:w="10" w:type="dxa"/>
          </w:tblCellMar>
        </w:tblPrEx>
        <w:tc>
          <w:tcPr>
            <w:tcW w:w="83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1.到2021年，连云港智慧燃气监管平台使用瓶装液化气居民用户信息录入比例达90%以上；</w:t>
            </w:r>
          </w:p>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2.到2021年，餐饮经营单位用户安装燃气泄漏报警智能化监控平台装置覆盖率达90%以上；</w:t>
            </w:r>
          </w:p>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3.到2025年，城市燃气老旧管网改造率</w:t>
            </w:r>
            <w:r>
              <w:rPr>
                <w:rFonts w:hint="eastAsia" w:ascii="楷体_GB2312" w:eastAsia="楷体_GB2312"/>
                <w:color w:val="auto"/>
                <w:sz w:val="24"/>
                <w:lang w:eastAsia="zh-CN"/>
              </w:rPr>
              <w:t>达</w:t>
            </w:r>
            <w:r>
              <w:rPr>
                <w:rFonts w:hint="eastAsia" w:ascii="楷体_GB2312" w:eastAsia="楷体_GB2312"/>
                <w:color w:val="auto"/>
                <w:sz w:val="24"/>
              </w:rPr>
              <w:t>80%</w:t>
            </w:r>
            <w:r>
              <w:rPr>
                <w:rFonts w:hint="eastAsia" w:ascii="楷体_GB2312" w:eastAsia="楷体_GB2312"/>
                <w:color w:val="auto"/>
                <w:sz w:val="24"/>
                <w:lang w:eastAsia="zh-CN"/>
              </w:rPr>
              <w:t>以上</w:t>
            </w:r>
            <w:r>
              <w:rPr>
                <w:rFonts w:hint="eastAsia" w:ascii="楷体_GB2312" w:eastAsia="楷体_GB2312"/>
                <w:color w:val="auto"/>
                <w:sz w:val="24"/>
              </w:rPr>
              <w:t>；</w:t>
            </w:r>
          </w:p>
          <w:p>
            <w:pPr>
              <w:spacing w:line="300" w:lineRule="auto"/>
              <w:ind w:firstLine="480" w:firstLineChars="200"/>
              <w:rPr>
                <w:sz w:val="24"/>
              </w:rPr>
            </w:pPr>
            <w:r>
              <w:rPr>
                <w:rFonts w:hint="eastAsia" w:ascii="楷体_GB2312" w:eastAsia="楷体_GB2312"/>
                <w:color w:val="auto"/>
                <w:sz w:val="24"/>
              </w:rPr>
              <w:t>4.到2025年，重要燃气管网和厂站监测监控设备安装率达到100%。</w:t>
            </w:r>
          </w:p>
        </w:tc>
      </w:tr>
    </w:tbl>
    <w:p>
      <w:pPr>
        <w:pStyle w:val="5"/>
        <w:pageBreakBefore w:val="0"/>
        <w:kinsoku/>
        <w:wordWrap/>
        <w:overflowPunct/>
        <w:topLinePunct w:val="0"/>
        <w:autoSpaceDE/>
        <w:autoSpaceDN/>
        <w:bidi w:val="0"/>
        <w:adjustRightInd/>
        <w:snapToGrid/>
        <w:spacing w:line="560" w:lineRule="exact"/>
        <w:ind w:left="0" w:leftChars="0" w:firstLine="643" w:firstLineChars="200"/>
        <w:jc w:val="both"/>
        <w:textAlignment w:val="auto"/>
        <w:rPr>
          <w:color w:val="auto"/>
        </w:rPr>
      </w:pPr>
      <w:r>
        <w:rPr>
          <w:rFonts w:hint="eastAsia"/>
          <w:color w:val="auto"/>
          <w:lang w:val="en-US" w:eastAsia="zh-CN"/>
        </w:rPr>
        <w:t>5</w:t>
      </w:r>
      <w:r>
        <w:rPr>
          <w:rFonts w:hint="eastAsia"/>
          <w:color w:val="auto"/>
        </w:rPr>
        <w:t>.海洋</w:t>
      </w:r>
      <w:r>
        <w:rPr>
          <w:color w:val="auto"/>
        </w:rPr>
        <w:t>渔业领域</w:t>
      </w:r>
    </w:p>
    <w:p>
      <w:pPr>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2"/>
        <w:rPr>
          <w:rFonts w:hint="eastAsia" w:ascii="Times New Roman" w:hAnsi="Times New Roman" w:eastAsia="仿宋_GB2312" w:cs="Times New Roman"/>
          <w:b w:val="0"/>
          <w:sz w:val="32"/>
          <w:szCs w:val="32"/>
        </w:rPr>
      </w:pPr>
      <w:r>
        <w:rPr>
          <w:rFonts w:hint="eastAsia" w:hAnsi="仿宋_GB2312" w:cs="仿宋_GB2312"/>
          <w:sz w:val="32"/>
          <w:szCs w:val="32"/>
          <w:lang w:val="en-US" w:eastAsia="zh-CN"/>
        </w:rPr>
        <w:t>以</w:t>
      </w:r>
      <w:r>
        <w:rPr>
          <w:rFonts w:hint="eastAsia" w:ascii="仿宋_GB2312" w:hAnsi="仿宋_GB2312" w:eastAsia="仿宋_GB2312" w:cs="仿宋_GB2312"/>
          <w:sz w:val="32"/>
          <w:szCs w:val="32"/>
          <w:lang w:val="en-US" w:eastAsia="zh-CN"/>
        </w:rPr>
        <w:t>“港长制”管理为抓手，完善渔港港章，压紧压实渔港综合管理主体责任，全面提升渔港和渔船综合治理制度化、精细化、组织化水平，实现“依港管船、依港管人、依港管安全”的目标。推进渔船组织化网格管理，在渔船相对集中的渔港和临时停泊点建立海洋渔业综合管理组织（</w:t>
      </w:r>
      <w:r>
        <w:rPr>
          <w:rFonts w:hint="eastAsia" w:hAnsi="仿宋_GB2312" w:cs="仿宋_GB2312"/>
          <w:sz w:val="32"/>
          <w:szCs w:val="32"/>
          <w:lang w:val="en-US" w:eastAsia="zh-CN"/>
        </w:rPr>
        <w:t>海洋</w:t>
      </w:r>
      <w:r>
        <w:rPr>
          <w:rFonts w:hint="eastAsia" w:ascii="仿宋_GB2312" w:hAnsi="仿宋_GB2312" w:eastAsia="仿宋_GB2312" w:cs="仿宋_GB2312"/>
          <w:sz w:val="32"/>
          <w:szCs w:val="32"/>
          <w:lang w:val="en-US" w:eastAsia="zh-CN"/>
        </w:rPr>
        <w:t>渔政</w:t>
      </w:r>
      <w:r>
        <w:rPr>
          <w:rFonts w:hint="eastAsia" w:hAnsi="仿宋_GB2312" w:cs="仿宋_GB2312"/>
          <w:sz w:val="32"/>
          <w:szCs w:val="32"/>
          <w:lang w:val="en-US" w:eastAsia="zh-CN"/>
        </w:rPr>
        <w:t>执法</w:t>
      </w:r>
      <w:r>
        <w:rPr>
          <w:rFonts w:hint="eastAsia" w:ascii="仿宋_GB2312" w:hAnsi="仿宋_GB2312" w:eastAsia="仿宋_GB2312" w:cs="仿宋_GB2312"/>
          <w:sz w:val="32"/>
          <w:szCs w:val="32"/>
          <w:lang w:val="en-US" w:eastAsia="zh-CN"/>
        </w:rPr>
        <w:t>中队）,将辖区分散的渔船和船员纳入组织管理，落实定人联船制度和编组生产工作措施,</w:t>
      </w:r>
      <w:r>
        <w:rPr>
          <w:rFonts w:hint="eastAsia" w:ascii="Times New Roman" w:hAnsi="Times New Roman" w:cs="Times New Roman"/>
          <w:b w:val="0"/>
          <w:sz w:val="32"/>
          <w:szCs w:val="32"/>
          <w:lang w:val="en-US" w:eastAsia="zh-CN"/>
        </w:rPr>
        <w:t>进一步规范</w:t>
      </w:r>
      <w:r>
        <w:rPr>
          <w:rFonts w:hint="eastAsia" w:ascii="Times New Roman" w:hAnsi="Times New Roman" w:eastAsia="仿宋_GB2312" w:cs="Times New Roman"/>
          <w:b w:val="0"/>
          <w:sz w:val="32"/>
          <w:szCs w:val="32"/>
          <w:lang w:val="en-US" w:eastAsia="zh-CN"/>
        </w:rPr>
        <w:t>养殖辅助船管理的</w:t>
      </w:r>
      <w:r>
        <w:rPr>
          <w:rFonts w:hint="eastAsia" w:ascii="Times New Roman" w:hAnsi="Times New Roman" w:cs="Times New Roman"/>
          <w:b w:val="0"/>
          <w:sz w:val="32"/>
          <w:szCs w:val="32"/>
          <w:lang w:val="en-US" w:eastAsia="zh-CN"/>
        </w:rPr>
        <w:t>“六定”</w:t>
      </w:r>
      <w:r>
        <w:rPr>
          <w:rFonts w:hint="eastAsia" w:ascii="Times New Roman" w:hAnsi="Times New Roman" w:eastAsia="仿宋_GB2312" w:cs="Times New Roman"/>
          <w:b w:val="0"/>
          <w:sz w:val="32"/>
          <w:szCs w:val="32"/>
          <w:lang w:val="en-US" w:eastAsia="zh-CN"/>
        </w:rPr>
        <w:t>工作。</w:t>
      </w:r>
      <w:r>
        <w:rPr>
          <w:rFonts w:hint="eastAsia" w:ascii="Times New Roman" w:hAnsi="Times New Roman" w:cs="Times New Roman"/>
          <w:b w:val="0"/>
          <w:sz w:val="32"/>
          <w:szCs w:val="32"/>
          <w:lang w:val="en-US" w:eastAsia="zh-CN"/>
        </w:rPr>
        <w:t>常态化</w:t>
      </w:r>
      <w:r>
        <w:rPr>
          <w:rFonts w:hint="eastAsia" w:ascii="Times New Roman" w:hAnsi="Times New Roman" w:eastAsia="仿宋_GB2312" w:cs="Times New Roman"/>
          <w:b w:val="0"/>
          <w:sz w:val="32"/>
          <w:szCs w:val="32"/>
          <w:lang w:val="en-US" w:eastAsia="zh-CN"/>
        </w:rPr>
        <w:t>开展“三</w:t>
      </w:r>
      <w:r>
        <w:rPr>
          <w:rFonts w:hint="eastAsia" w:ascii="Times New Roman" w:hAnsi="Times New Roman" w:cs="Times New Roman"/>
          <w:b w:val="0"/>
          <w:sz w:val="32"/>
          <w:szCs w:val="32"/>
          <w:lang w:val="en-US" w:eastAsia="zh-CN"/>
        </w:rPr>
        <w:t>无</w:t>
      </w:r>
      <w:r>
        <w:rPr>
          <w:rFonts w:hint="eastAsia" w:ascii="Times New Roman" w:hAnsi="Times New Roman" w:eastAsia="仿宋_GB2312" w:cs="Times New Roman"/>
          <w:b w:val="0"/>
          <w:sz w:val="32"/>
          <w:szCs w:val="32"/>
          <w:lang w:val="en-US" w:eastAsia="zh-CN"/>
        </w:rPr>
        <w:t>”船舶专项清理活动，采取“海上巡、港口堵、陆上管”的方式</w:t>
      </w:r>
      <w:r>
        <w:rPr>
          <w:rFonts w:hint="eastAsia" w:ascii="Times New Roman" w:hAnsi="Times New Roman" w:eastAsia="仿宋_GB2312" w:cs="Times New Roman"/>
          <w:b w:val="0"/>
          <w:sz w:val="32"/>
          <w:szCs w:val="32"/>
        </w:rPr>
        <w:t>，</w:t>
      </w:r>
      <w:r>
        <w:rPr>
          <w:rFonts w:hint="eastAsia" w:ascii="Times New Roman" w:hAnsi="Times New Roman" w:cs="Times New Roman"/>
          <w:b w:val="0"/>
          <w:sz w:val="32"/>
          <w:szCs w:val="32"/>
          <w:lang w:val="en-US" w:eastAsia="zh-CN"/>
        </w:rPr>
        <w:t>实现“三无”渔船动态清零工作</w:t>
      </w:r>
      <w:r>
        <w:rPr>
          <w:rFonts w:hint="eastAsia" w:ascii="Times New Roman" w:hAnsi="Times New Roman" w:eastAsia="仿宋_GB2312" w:cs="Times New Roman"/>
          <w:b w:val="0"/>
          <w:sz w:val="32"/>
          <w:szCs w:val="32"/>
          <w:lang w:val="en-US" w:eastAsia="zh-CN"/>
        </w:rPr>
        <w:t>。</w:t>
      </w:r>
      <w:r>
        <w:rPr>
          <w:rFonts w:hint="eastAsia" w:ascii="Times New Roman" w:hAnsi="Times New Roman" w:eastAsia="仿宋_GB2312" w:cs="Times New Roman"/>
          <w:b w:val="0"/>
          <w:sz w:val="32"/>
          <w:szCs w:val="32"/>
        </w:rPr>
        <w:t>不断发挥街道和渔民的监督作用，对</w:t>
      </w:r>
      <w:r>
        <w:rPr>
          <w:rFonts w:hint="eastAsia" w:ascii="仿宋_GB2312" w:hAnsi="华文仿宋" w:eastAsia="仿宋_GB2312" w:cs="华文仿宋"/>
          <w:sz w:val="32"/>
          <w:szCs w:val="32"/>
        </w:rPr>
        <w:t>渔港和区内</w:t>
      </w:r>
      <w:r>
        <w:rPr>
          <w:rFonts w:hint="eastAsia" w:ascii="仿宋_GB2312" w:hAnsi="华文仿宋" w:eastAsia="仿宋_GB2312" w:cs="华文仿宋"/>
          <w:sz w:val="32"/>
          <w:szCs w:val="32"/>
          <w:lang w:val="en-US" w:eastAsia="zh-CN"/>
        </w:rPr>
        <w:t>的</w:t>
      </w:r>
      <w:r>
        <w:rPr>
          <w:rFonts w:hint="eastAsia" w:ascii="仿宋_GB2312" w:hAnsi="华文仿宋" w:eastAsia="仿宋_GB2312" w:cs="华文仿宋"/>
          <w:sz w:val="32"/>
          <w:szCs w:val="32"/>
        </w:rPr>
        <w:t>渔船</w:t>
      </w:r>
      <w:r>
        <w:rPr>
          <w:rFonts w:hint="eastAsia" w:ascii="仿宋_GB2312" w:hAnsi="华文仿宋" w:eastAsia="仿宋_GB2312" w:cs="华文仿宋"/>
          <w:sz w:val="32"/>
          <w:szCs w:val="32"/>
          <w:lang w:val="en-US" w:eastAsia="zh-CN"/>
        </w:rPr>
        <w:t>进行出海“十个必须”</w:t>
      </w:r>
      <w:r>
        <w:rPr>
          <w:rFonts w:hint="eastAsia" w:ascii="仿宋_GB2312" w:hAnsi="华文仿宋" w:eastAsia="仿宋_GB2312" w:cs="华文仿宋"/>
          <w:sz w:val="32"/>
          <w:szCs w:val="32"/>
        </w:rPr>
        <w:t>检查，对渔港防台风、消防设备配备、危险物品管理、非法养殖碍航情况</w:t>
      </w:r>
      <w:r>
        <w:rPr>
          <w:rFonts w:hint="eastAsia" w:hAnsi="华文仿宋" w:cs="华文仿宋"/>
          <w:sz w:val="32"/>
          <w:szCs w:val="32"/>
          <w:lang w:val="en-US" w:eastAsia="zh-CN"/>
        </w:rPr>
        <w:t>，</w:t>
      </w:r>
      <w:r>
        <w:rPr>
          <w:rFonts w:hint="eastAsia" w:ascii="仿宋_GB2312" w:hAnsi="华文仿宋" w:eastAsia="仿宋_GB2312" w:cs="华文仿宋"/>
          <w:sz w:val="32"/>
          <w:szCs w:val="32"/>
        </w:rPr>
        <w:t>渔船安全设施、救生设施配备和使用情况、渔船非法载客载货、未按规定安装和使用信息终端的行为进行重点检查，</w:t>
      </w:r>
      <w:r>
        <w:rPr>
          <w:rFonts w:hint="eastAsia" w:ascii="仿宋_GB2312" w:hAnsi="华文仿宋" w:eastAsia="仿宋_GB2312" w:cs="华文仿宋"/>
          <w:sz w:val="32"/>
          <w:szCs w:val="32"/>
          <w:lang w:val="en-US" w:eastAsia="zh-CN"/>
        </w:rPr>
        <w:t>严惩</w:t>
      </w:r>
      <w:r>
        <w:rPr>
          <w:rFonts w:hint="eastAsia" w:hAnsi="华文仿宋" w:cs="华文仿宋"/>
          <w:sz w:val="32"/>
          <w:szCs w:val="32"/>
          <w:lang w:val="en-US" w:eastAsia="zh-CN"/>
        </w:rPr>
        <w:t>渔船、渔港</w:t>
      </w:r>
      <w:r>
        <w:rPr>
          <w:rFonts w:hint="eastAsia" w:ascii="仿宋_GB2312" w:hAnsi="华文仿宋" w:eastAsia="仿宋_GB2312" w:cs="华文仿宋"/>
          <w:sz w:val="32"/>
          <w:szCs w:val="32"/>
          <w:lang w:val="en-US" w:eastAsia="zh-CN"/>
        </w:rPr>
        <w:t>违法违规问题</w:t>
      </w:r>
      <w:r>
        <w:rPr>
          <w:rFonts w:hint="eastAsia" w:hAnsi="华文仿宋" w:cs="华文仿宋"/>
          <w:sz w:val="32"/>
          <w:szCs w:val="32"/>
          <w:lang w:val="en-US" w:eastAsia="zh-CN"/>
        </w:rPr>
        <w:t>，维护海洋渔业安全生产工作有序开展</w:t>
      </w:r>
      <w:r>
        <w:rPr>
          <w:rFonts w:hint="eastAsia" w:ascii="Times New Roman" w:hAnsi="Times New Roman" w:eastAsia="仿宋_GB2312" w:cs="Times New Roman"/>
          <w:b w:val="0"/>
          <w:sz w:val="32"/>
          <w:szCs w:val="32"/>
        </w:rPr>
        <w:t>。</w:t>
      </w:r>
    </w:p>
    <w:p>
      <w:pPr>
        <w:pStyle w:val="5"/>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color w:val="auto"/>
        </w:rPr>
      </w:pPr>
      <w:r>
        <w:rPr>
          <w:rFonts w:hint="eastAsia"/>
          <w:color w:val="auto"/>
          <w:lang w:val="en-US" w:eastAsia="zh-CN"/>
        </w:rPr>
        <w:t>6.</w:t>
      </w:r>
      <w:r>
        <w:rPr>
          <w:rFonts w:hint="eastAsia"/>
          <w:color w:val="auto"/>
        </w:rPr>
        <w:t>消防</w:t>
      </w:r>
      <w:r>
        <w:rPr>
          <w:color w:val="auto"/>
        </w:rPr>
        <w:t>安全领域</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lang w:val="en-US" w:eastAsia="zh-CN"/>
        </w:rPr>
      </w:pPr>
      <w:r>
        <w:rPr>
          <w:rFonts w:hint="eastAsia"/>
          <w:color w:val="auto"/>
          <w:sz w:val="32"/>
          <w:szCs w:val="32"/>
        </w:rPr>
        <w:t>推动《消防安全责任制实施办法》贯彻落实，完善重大火灾隐患整改、消防安全约谈承诺和消防安全重大问题督办机制。</w:t>
      </w:r>
      <w:r>
        <w:rPr>
          <w:rFonts w:hint="eastAsia"/>
          <w:color w:val="auto"/>
          <w:sz w:val="32"/>
          <w:szCs w:val="32"/>
          <w:lang w:eastAsia="zh-Hans"/>
        </w:rPr>
        <w:t>全面推行</w:t>
      </w:r>
      <w:r>
        <w:rPr>
          <w:rFonts w:hint="eastAsia"/>
          <w:color w:val="auto"/>
          <w:sz w:val="32"/>
          <w:szCs w:val="32"/>
        </w:rPr>
        <w:t>适用于不同场所、不同人群的火灾风险隐患“自知、自查、自改”治理体系</w:t>
      </w:r>
      <w:r>
        <w:rPr>
          <w:rFonts w:hint="eastAsia"/>
          <w:color w:val="auto"/>
          <w:sz w:val="32"/>
          <w:szCs w:val="32"/>
          <w:lang w:eastAsia="zh-Hans"/>
        </w:rPr>
        <w:t>和公示承诺、风险申报制度</w:t>
      </w:r>
      <w:r>
        <w:rPr>
          <w:rFonts w:hint="eastAsia"/>
          <w:color w:val="auto"/>
          <w:sz w:val="32"/>
          <w:szCs w:val="32"/>
        </w:rPr>
        <w:t>，深入开展以学校、社会福利机构、公众聚集场所等人员密集场所和沿街商铺、“三合一”场所、易燃易爆危险品场所、劳动密集型生产经营单位、高层楼宇、群租房为重点的消防安全隐患排查治理，推进重大火灾隐患清零。大力实施“互联网+”消防监管，推动消防安全远程监督、移动执法、线上管理。持续开展单位消防安全标准化建设和社区消防安全能力提升行动，将消防安全纳入“大数据+网格化+铁脚板”工作机制，完善网格化消防安全治理机制。</w:t>
      </w:r>
      <w:r>
        <w:rPr>
          <w:rFonts w:hint="eastAsia"/>
          <w:color w:val="auto"/>
          <w:sz w:val="32"/>
          <w:szCs w:val="32"/>
          <w:lang w:eastAsia="zh-Hans"/>
        </w:rPr>
        <w:t>建强基层消防监管力量，加快多种形式队站建设，新建连云老街撬装站，</w:t>
      </w:r>
      <w:r>
        <w:rPr>
          <w:rFonts w:hint="eastAsia"/>
          <w:color w:val="auto"/>
          <w:sz w:val="32"/>
          <w:szCs w:val="32"/>
        </w:rPr>
        <w:t>推进</w:t>
      </w:r>
      <w:r>
        <w:rPr>
          <w:rFonts w:hint="eastAsia"/>
          <w:color w:val="auto"/>
          <w:sz w:val="32"/>
          <w:szCs w:val="32"/>
          <w:lang w:eastAsia="zh-Hans"/>
        </w:rPr>
        <w:t>政府专职</w:t>
      </w:r>
      <w:r>
        <w:rPr>
          <w:rFonts w:hint="eastAsia"/>
          <w:color w:val="auto"/>
          <w:sz w:val="32"/>
          <w:szCs w:val="32"/>
        </w:rPr>
        <w:t>消防队站建设，加快推动应急装备升级换代，</w:t>
      </w:r>
      <w:r>
        <w:rPr>
          <w:rFonts w:hint="eastAsia"/>
          <w:color w:val="auto"/>
          <w:sz w:val="32"/>
          <w:szCs w:val="32"/>
          <w:lang w:eastAsia="zh-Hans"/>
        </w:rPr>
        <w:t>推动</w:t>
      </w:r>
      <w:r>
        <w:rPr>
          <w:rFonts w:hint="eastAsia"/>
          <w:color w:val="auto"/>
          <w:sz w:val="32"/>
          <w:szCs w:val="32"/>
        </w:rPr>
        <w:t>连云开发区</w:t>
      </w:r>
      <w:r>
        <w:rPr>
          <w:rFonts w:hint="eastAsia"/>
          <w:color w:val="auto"/>
          <w:sz w:val="32"/>
          <w:szCs w:val="32"/>
          <w:lang w:eastAsia="zh-Hans"/>
        </w:rPr>
        <w:t>政府专职队、连岛政府专职队按标准配齐配全人员车辆，并纳入消防救援部门统一管理、统一调度、统一轮训</w:t>
      </w:r>
      <w:r>
        <w:rPr>
          <w:rFonts w:hint="eastAsia"/>
          <w:color w:val="auto"/>
          <w:sz w:val="32"/>
          <w:szCs w:val="32"/>
        </w:rPr>
        <w:t>。</w:t>
      </w:r>
    </w:p>
    <w:tbl>
      <w:tblPr>
        <w:tblStyle w:val="17"/>
        <w:tblW w:w="8300" w:type="dxa"/>
        <w:tblInd w:w="112" w:type="dxa"/>
        <w:tblLayout w:type="fixed"/>
        <w:tblCellMar>
          <w:top w:w="0" w:type="dxa"/>
          <w:left w:w="10" w:type="dxa"/>
          <w:bottom w:w="0" w:type="dxa"/>
          <w:right w:w="10" w:type="dxa"/>
        </w:tblCellMar>
      </w:tblPr>
      <w:tblGrid>
        <w:gridCol w:w="8300"/>
      </w:tblGrid>
      <w:tr>
        <w:tblPrEx>
          <w:tblCellMar>
            <w:top w:w="0" w:type="dxa"/>
            <w:left w:w="10" w:type="dxa"/>
            <w:bottom w:w="0" w:type="dxa"/>
            <w:right w:w="10" w:type="dxa"/>
          </w:tblCellMar>
        </w:tblPrEx>
        <w:trPr>
          <w:trHeight w:val="567" w:hRule="atLeast"/>
        </w:trPr>
        <w:tc>
          <w:tcPr>
            <w:tcW w:w="8300"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topLinePunct w:val="0"/>
              <w:bidi w:val="0"/>
              <w:spacing w:line="550" w:lineRule="exact"/>
              <w:jc w:val="center"/>
              <w:textAlignment w:val="auto"/>
              <w:rPr>
                <w:szCs w:val="22"/>
                <w:lang w:bidi="zh-CN"/>
              </w:rPr>
            </w:pPr>
            <w:r>
              <w:rPr>
                <w:rFonts w:hint="eastAsia" w:eastAsia="黑体"/>
                <w:sz w:val="28"/>
                <w:szCs w:val="28"/>
              </w:rPr>
              <w:t>专栏</w:t>
            </w:r>
            <w:r>
              <w:rPr>
                <w:rFonts w:hint="eastAsia" w:eastAsia="黑体"/>
                <w:sz w:val="28"/>
                <w:szCs w:val="28"/>
                <w:lang w:val="en-US" w:eastAsia="zh-CN"/>
              </w:rPr>
              <w:t xml:space="preserve">5 </w:t>
            </w:r>
            <w:r>
              <w:rPr>
                <w:rFonts w:hint="eastAsia" w:eastAsia="黑体"/>
                <w:sz w:val="28"/>
                <w:szCs w:val="28"/>
              </w:rPr>
              <w:t>消防安全</w:t>
            </w:r>
          </w:p>
        </w:tc>
      </w:tr>
      <w:tr>
        <w:tblPrEx>
          <w:tblCellMar>
            <w:top w:w="0" w:type="dxa"/>
            <w:left w:w="10" w:type="dxa"/>
            <w:bottom w:w="0" w:type="dxa"/>
            <w:right w:w="10" w:type="dxa"/>
          </w:tblCellMar>
        </w:tblPrEx>
        <w:tc>
          <w:tcPr>
            <w:tcW w:w="83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0" w:firstLineChars="200"/>
              <w:rPr>
                <w:rFonts w:ascii="楷体_GB2312" w:eastAsia="楷体_GB2312"/>
                <w:color w:val="auto"/>
                <w:sz w:val="24"/>
              </w:rPr>
            </w:pPr>
            <w:r>
              <w:rPr>
                <w:rFonts w:hint="eastAsia" w:ascii="楷体_GB2312" w:eastAsia="楷体_GB2312"/>
                <w:color w:val="auto"/>
                <w:sz w:val="24"/>
              </w:rPr>
              <w:t>1.到</w:t>
            </w:r>
            <w:r>
              <w:rPr>
                <w:rFonts w:ascii="楷体_GB2312" w:eastAsia="楷体_GB2312"/>
                <w:color w:val="auto"/>
                <w:sz w:val="24"/>
              </w:rPr>
              <w:t>2023年，建成城市消防大数据库</w:t>
            </w:r>
            <w:r>
              <w:rPr>
                <w:rFonts w:hint="eastAsia" w:ascii="楷体_GB2312" w:eastAsia="楷体_GB2312"/>
                <w:color w:val="auto"/>
                <w:sz w:val="24"/>
              </w:rPr>
              <w:t>、</w:t>
            </w:r>
            <w:r>
              <w:rPr>
                <w:rFonts w:ascii="楷体_GB2312" w:eastAsia="楷体_GB2312"/>
                <w:color w:val="auto"/>
                <w:sz w:val="24"/>
              </w:rPr>
              <w:t>火灾监测预警预报平台</w:t>
            </w:r>
            <w:r>
              <w:rPr>
                <w:rFonts w:hint="eastAsia" w:ascii="楷体_GB2312" w:eastAsia="楷体_GB2312"/>
                <w:color w:val="auto"/>
                <w:sz w:val="24"/>
              </w:rPr>
              <w:t>；</w:t>
            </w:r>
          </w:p>
          <w:p>
            <w:pPr>
              <w:spacing w:line="300" w:lineRule="auto"/>
              <w:ind w:firstLine="480" w:firstLineChars="200"/>
              <w:rPr>
                <w:rFonts w:hint="eastAsia" w:ascii="楷体_GB2312" w:eastAsia="楷体_GB2312"/>
                <w:sz w:val="24"/>
              </w:rPr>
            </w:pPr>
            <w:r>
              <w:rPr>
                <w:rFonts w:hint="eastAsia" w:ascii="楷体_GB2312" w:eastAsia="楷体_GB2312"/>
                <w:color w:val="auto"/>
                <w:sz w:val="24"/>
              </w:rPr>
              <w:t>2.到2025年，</w:t>
            </w:r>
            <w:r>
              <w:rPr>
                <w:rFonts w:ascii="楷体_GB2312" w:eastAsia="楷体_GB2312"/>
                <w:sz w:val="24"/>
              </w:rPr>
              <w:t>消防站及特勤站中的消防车、防护装备、抢险救援器材和灭火器材的配备达标率100%</w:t>
            </w:r>
            <w:r>
              <w:rPr>
                <w:rFonts w:hint="eastAsia" w:ascii="楷体_GB2312" w:eastAsia="楷体_GB2312"/>
                <w:sz w:val="24"/>
              </w:rPr>
              <w:t>；</w:t>
            </w:r>
          </w:p>
          <w:p>
            <w:pPr>
              <w:spacing w:line="300" w:lineRule="auto"/>
              <w:ind w:firstLine="480" w:firstLineChars="200"/>
              <w:rPr>
                <w:sz w:val="24"/>
              </w:rPr>
            </w:pPr>
            <w:r>
              <w:rPr>
                <w:rFonts w:hint="eastAsia" w:ascii="楷体_GB2312" w:eastAsia="楷体_GB2312"/>
                <w:color w:val="auto"/>
                <w:sz w:val="24"/>
              </w:rPr>
              <w:t>3.到2025年，</w:t>
            </w:r>
            <w:r>
              <w:rPr>
                <w:rFonts w:ascii="楷体_GB2312" w:eastAsia="楷体_GB2312"/>
                <w:color w:val="auto"/>
                <w:sz w:val="24"/>
              </w:rPr>
              <w:t>消防通信设施</w:t>
            </w:r>
            <w:r>
              <w:rPr>
                <w:rFonts w:hint="eastAsia" w:ascii="楷体_GB2312" w:eastAsia="楷体_GB2312"/>
                <w:color w:val="auto"/>
                <w:sz w:val="24"/>
                <w:lang w:eastAsia="zh-Hans"/>
              </w:rPr>
              <w:t>、消防水源</w:t>
            </w:r>
            <w:r>
              <w:rPr>
                <w:rFonts w:ascii="楷体_GB2312" w:eastAsia="楷体_GB2312"/>
                <w:color w:val="auto"/>
                <w:sz w:val="24"/>
              </w:rPr>
              <w:t>完好率≥95%</w:t>
            </w:r>
            <w:r>
              <w:rPr>
                <w:rFonts w:hint="eastAsia" w:ascii="楷体_GB2312" w:eastAsia="楷体_GB2312"/>
                <w:color w:val="auto"/>
                <w:sz w:val="24"/>
              </w:rPr>
              <w:t>。</w:t>
            </w:r>
          </w:p>
        </w:tc>
      </w:tr>
    </w:tbl>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color w:val="auto"/>
        </w:rPr>
      </w:pPr>
      <w:r>
        <w:rPr>
          <w:rFonts w:hint="eastAsia"/>
          <w:color w:val="auto"/>
          <w:lang w:val="en-US" w:eastAsia="zh-CN"/>
        </w:rPr>
        <w:t>7</w:t>
      </w:r>
      <w:r>
        <w:rPr>
          <w:rFonts w:hint="eastAsia"/>
          <w:color w:val="auto"/>
        </w:rPr>
        <w:t>.冶金等</w:t>
      </w:r>
      <w:r>
        <w:rPr>
          <w:color w:val="auto"/>
        </w:rPr>
        <w:t>工贸领域</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olor w:val="auto"/>
          <w:sz w:val="32"/>
          <w:szCs w:val="32"/>
          <w:lang w:eastAsia="zh-CN"/>
        </w:rPr>
      </w:pPr>
      <w:r>
        <w:rPr>
          <w:rFonts w:hint="eastAsia"/>
          <w:color w:val="auto"/>
          <w:sz w:val="32"/>
          <w:szCs w:val="32"/>
        </w:rPr>
        <w:t>推进冶金等工贸行业风险辨识及防范全覆盖，深化重大隐患排查治理，扎实推进安全生产标准化建设，开展安全标准化审计，推进企业分级分类监管。加强对金属熔融企业重点部位、重点工艺安全监管，指导企业对标开展重大隐患自查自改工作</w:t>
      </w:r>
      <w:r>
        <w:rPr>
          <w:rFonts w:hint="eastAsia"/>
          <w:color w:val="auto"/>
          <w:sz w:val="32"/>
          <w:szCs w:val="32"/>
          <w:lang w:eastAsia="zh-CN"/>
        </w:rPr>
        <w:t>。</w:t>
      </w:r>
      <w:r>
        <w:rPr>
          <w:rFonts w:hint="eastAsia"/>
          <w:color w:val="auto"/>
          <w:sz w:val="32"/>
          <w:szCs w:val="32"/>
        </w:rPr>
        <w:t>重点整治</w:t>
      </w:r>
      <w:r>
        <w:rPr>
          <w:color w:val="auto"/>
          <w:sz w:val="32"/>
          <w:szCs w:val="32"/>
        </w:rPr>
        <w:t>除尘系统防爆、防范点燃源措施、粉尘清理处置等重点环节</w:t>
      </w:r>
      <w:r>
        <w:rPr>
          <w:rFonts w:hint="eastAsia"/>
          <w:color w:val="auto"/>
          <w:sz w:val="32"/>
          <w:szCs w:val="32"/>
        </w:rPr>
        <w:t>安全风险。</w:t>
      </w:r>
      <w:r>
        <w:rPr>
          <w:rFonts w:hint="eastAsia" w:hAnsi="宋体" w:cs="宋体"/>
          <w:color w:val="auto"/>
          <w:sz w:val="32"/>
          <w:szCs w:val="32"/>
          <w:lang w:val="en-US" w:eastAsia="zh-CN"/>
        </w:rPr>
        <w:t>加强有限空间作业管控，督促企业落实作业许可审批制度，规范作业程序，严防盲目施救、群死群伤事故发生。</w:t>
      </w:r>
      <w:r>
        <w:rPr>
          <w:rFonts w:hint="eastAsia" w:hAnsi="宋体" w:cs="宋体"/>
          <w:color w:val="auto"/>
          <w:sz w:val="32"/>
          <w:szCs w:val="32"/>
        </w:rPr>
        <w:t>推广应用粉尘涉爆领域自动化监测报警和联锁装置等</w:t>
      </w:r>
      <w:r>
        <w:rPr>
          <w:rFonts w:hint="eastAsia"/>
          <w:color w:val="auto"/>
          <w:sz w:val="32"/>
          <w:szCs w:val="32"/>
        </w:rPr>
        <w:t>先进技术装备。深入开展安全风险较高的岗位 “机械化换人、自动化减人”行动，全面提高企业本质安全生产水平。加强对商场、超市、批发市场、餐饮等人员和货物密集场所的安全隐患排查，推动我</w:t>
      </w:r>
      <w:r>
        <w:rPr>
          <w:rFonts w:hint="eastAsia"/>
          <w:color w:val="auto"/>
          <w:sz w:val="32"/>
          <w:szCs w:val="32"/>
          <w:lang w:eastAsia="zh-CN"/>
        </w:rPr>
        <w:t>区</w:t>
      </w:r>
      <w:r>
        <w:rPr>
          <w:color w:val="auto"/>
          <w:sz w:val="32"/>
          <w:szCs w:val="32"/>
        </w:rPr>
        <w:t>商业零售和餐饮经营单位</w:t>
      </w:r>
      <w:r>
        <w:rPr>
          <w:rFonts w:hint="eastAsia"/>
          <w:color w:val="auto"/>
          <w:sz w:val="32"/>
          <w:szCs w:val="32"/>
        </w:rPr>
        <w:t>开展</w:t>
      </w:r>
      <w:r>
        <w:rPr>
          <w:color w:val="auto"/>
          <w:sz w:val="32"/>
          <w:szCs w:val="32"/>
        </w:rPr>
        <w:t>安全生产标准化创建达标</w:t>
      </w:r>
      <w:r>
        <w:rPr>
          <w:rFonts w:hint="eastAsia"/>
          <w:color w:val="auto"/>
          <w:sz w:val="32"/>
          <w:szCs w:val="32"/>
        </w:rPr>
        <w:t>，引导企业全员参与对标、全覆盖排查隐患、零容忍治理隐患。</w:t>
      </w:r>
    </w:p>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color w:val="auto"/>
        </w:rPr>
      </w:pPr>
      <w:r>
        <w:rPr>
          <w:rFonts w:hint="eastAsia"/>
          <w:color w:val="auto"/>
          <w:lang w:val="en-US" w:eastAsia="zh-CN"/>
        </w:rPr>
        <w:t>8</w:t>
      </w:r>
      <w:r>
        <w:rPr>
          <w:rFonts w:hint="eastAsia"/>
          <w:color w:val="auto"/>
        </w:rPr>
        <w:t>.特种设备领域</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olor w:val="auto"/>
          <w:sz w:val="32"/>
          <w:szCs w:val="32"/>
          <w:lang w:eastAsia="zh-CN"/>
        </w:rPr>
      </w:pPr>
      <w:r>
        <w:rPr>
          <w:rFonts w:hint="eastAsia"/>
          <w:color w:val="auto"/>
          <w:sz w:val="32"/>
          <w:szCs w:val="32"/>
        </w:rPr>
        <w:t>探索推进不同设备差异化分类监管，大力推广运用现代信息技术建立特种设备安全“智慧监管”系统。推行电梯安全状况定期通报和故障（事故）信息公开制度，探索建立电梯故障分析和故障率、处置及时率通报与约谈机制，加快电梯物联网建设步伐，全面强化对电梯维保单位的现场安全监察工作。开展危险化学品和天然气相关特种设备、电站锅炉范围内管道、“三无”电梯</w:t>
      </w:r>
      <w:r>
        <w:rPr>
          <w:rFonts w:hint="eastAsia" w:ascii="Times New Roman" w:hAnsi="Times New Roman" w:eastAsia="仿宋_GB2312" w:cs="仿宋_GB2312"/>
          <w:kern w:val="2"/>
          <w:sz w:val="32"/>
          <w:szCs w:val="32"/>
          <w:lang w:val="en-US" w:eastAsia="zh-CN" w:bidi="ar-SA"/>
        </w:rPr>
        <w:t>和使</w:t>
      </w:r>
      <w:r>
        <w:rPr>
          <w:rFonts w:hint="eastAsia" w:ascii="Times New Roman" w:hAnsi="Times New Roman" w:eastAsia="仿宋_GB2312" w:cs="宋体"/>
          <w:color w:val="000000"/>
          <w:sz w:val="32"/>
          <w:szCs w:val="32"/>
          <w:lang w:val="en-US" w:eastAsia="zh-CN" w:bidi="ar-SA"/>
        </w:rPr>
        <w:t>用15年</w:t>
      </w:r>
      <w:r>
        <w:rPr>
          <w:rFonts w:hint="eastAsia" w:ascii="Times New Roman" w:hAnsi="Times New Roman" w:eastAsia="仿宋_GB2312" w:cs="仿宋_GB2312"/>
          <w:kern w:val="2"/>
          <w:sz w:val="32"/>
          <w:szCs w:val="32"/>
          <w:lang w:val="en-US" w:eastAsia="zh-CN" w:bidi="ar-SA"/>
        </w:rPr>
        <w:t>及以上电梯、</w:t>
      </w:r>
      <w:r>
        <w:rPr>
          <w:rFonts w:hint="eastAsia"/>
          <w:color w:val="auto"/>
          <w:sz w:val="32"/>
          <w:szCs w:val="32"/>
        </w:rPr>
        <w:t>大型游乐设施乘客束缚装置和客运架空索道的安全综合治理。加强</w:t>
      </w:r>
      <w:r>
        <w:rPr>
          <w:color w:val="auto"/>
          <w:sz w:val="32"/>
          <w:szCs w:val="32"/>
        </w:rPr>
        <w:t>液化石油气和工业气体气瓶的充装、检验信息化建设</w:t>
      </w:r>
      <w:r>
        <w:rPr>
          <w:rFonts w:hint="eastAsia"/>
          <w:color w:val="auto"/>
          <w:sz w:val="32"/>
          <w:szCs w:val="32"/>
        </w:rPr>
        <w:t>。深化大型起重机械安装监控系统和工业管道定期检验工作。严厉打击查处无证制造、无证安装、无证使用等特种设备违法行为。</w:t>
      </w:r>
    </w:p>
    <w:tbl>
      <w:tblPr>
        <w:tblStyle w:val="17"/>
        <w:tblW w:w="8300" w:type="dxa"/>
        <w:tblInd w:w="112" w:type="dxa"/>
        <w:tblLayout w:type="fixed"/>
        <w:tblCellMar>
          <w:top w:w="0" w:type="dxa"/>
          <w:left w:w="10" w:type="dxa"/>
          <w:bottom w:w="0" w:type="dxa"/>
          <w:right w:w="10" w:type="dxa"/>
        </w:tblCellMar>
      </w:tblPr>
      <w:tblGrid>
        <w:gridCol w:w="8300"/>
      </w:tblGrid>
      <w:tr>
        <w:tblPrEx>
          <w:tblCellMar>
            <w:top w:w="0" w:type="dxa"/>
            <w:left w:w="10" w:type="dxa"/>
            <w:bottom w:w="0" w:type="dxa"/>
            <w:right w:w="10" w:type="dxa"/>
          </w:tblCellMar>
        </w:tblPrEx>
        <w:trPr>
          <w:trHeight w:val="567" w:hRule="atLeast"/>
        </w:trPr>
        <w:tc>
          <w:tcPr>
            <w:tcW w:w="8300"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topLinePunct w:val="0"/>
              <w:bidi w:val="0"/>
              <w:spacing w:line="550" w:lineRule="exact"/>
              <w:jc w:val="center"/>
              <w:textAlignment w:val="auto"/>
              <w:rPr>
                <w:szCs w:val="22"/>
                <w:lang w:bidi="zh-CN"/>
              </w:rPr>
            </w:pPr>
            <w:r>
              <w:rPr>
                <w:rFonts w:hint="eastAsia" w:eastAsia="黑体"/>
                <w:sz w:val="28"/>
                <w:szCs w:val="28"/>
              </w:rPr>
              <w:t>专栏</w:t>
            </w:r>
            <w:r>
              <w:rPr>
                <w:rFonts w:hint="eastAsia" w:eastAsia="黑体"/>
                <w:sz w:val="28"/>
                <w:szCs w:val="28"/>
                <w:lang w:val="en-US" w:eastAsia="zh-CN"/>
              </w:rPr>
              <w:t xml:space="preserve">6 </w:t>
            </w:r>
            <w:r>
              <w:rPr>
                <w:rFonts w:hint="eastAsia" w:eastAsia="黑体"/>
                <w:sz w:val="28"/>
                <w:szCs w:val="28"/>
              </w:rPr>
              <w:t>特种设备安全</w:t>
            </w:r>
          </w:p>
        </w:tc>
      </w:tr>
      <w:tr>
        <w:tblPrEx>
          <w:tblCellMar>
            <w:top w:w="0" w:type="dxa"/>
            <w:left w:w="10" w:type="dxa"/>
            <w:bottom w:w="0" w:type="dxa"/>
            <w:right w:w="10" w:type="dxa"/>
          </w:tblCellMar>
        </w:tblPrEx>
        <w:tc>
          <w:tcPr>
            <w:tcW w:w="83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ageBreakBefore w:val="0"/>
              <w:kinsoku/>
              <w:wordWrap/>
              <w:topLinePunct w:val="0"/>
              <w:bidi w:val="0"/>
              <w:spacing w:line="550" w:lineRule="exact"/>
              <w:ind w:left="0" w:leftChars="0" w:firstLine="480" w:firstLineChars="200"/>
              <w:jc w:val="both"/>
              <w:textAlignment w:val="auto"/>
              <w:rPr>
                <w:sz w:val="24"/>
              </w:rPr>
            </w:pPr>
            <w:r>
              <w:rPr>
                <w:rFonts w:hint="eastAsia" w:ascii="楷体_GB2312" w:eastAsia="楷体_GB2312"/>
                <w:color w:val="auto"/>
                <w:sz w:val="24"/>
              </w:rPr>
              <w:t>到2025年，</w:t>
            </w:r>
            <w:r>
              <w:rPr>
                <w:rFonts w:ascii="楷体_GB2312" w:eastAsia="楷体_GB2312"/>
                <w:color w:val="auto"/>
                <w:sz w:val="24"/>
              </w:rPr>
              <w:t>特种设备注册登记和定检率100%</w:t>
            </w:r>
            <w:r>
              <w:rPr>
                <w:rFonts w:hint="eastAsia" w:ascii="楷体_GB2312" w:eastAsia="楷体_GB2312"/>
                <w:sz w:val="24"/>
              </w:rPr>
              <w:t>。</w:t>
            </w:r>
          </w:p>
        </w:tc>
      </w:tr>
    </w:tbl>
    <w:p>
      <w:pPr>
        <w:pageBreakBefore w:val="0"/>
        <w:widowControl/>
        <w:kinsoku/>
        <w:wordWrap/>
        <w:overflowPunct/>
        <w:topLinePunct w:val="0"/>
        <w:autoSpaceDE/>
        <w:autoSpaceDN/>
        <w:bidi w:val="0"/>
        <w:spacing w:line="560" w:lineRule="exact"/>
        <w:ind w:left="0" w:leftChars="0" w:firstLine="643" w:firstLineChars="200"/>
        <w:jc w:val="both"/>
        <w:textAlignment w:val="auto"/>
        <w:outlineLvl w:val="2"/>
        <w:rPr>
          <w:b/>
          <w:bCs/>
          <w:color w:val="auto"/>
          <w:sz w:val="32"/>
          <w:szCs w:val="32"/>
        </w:rPr>
      </w:pPr>
      <w:r>
        <w:rPr>
          <w:rFonts w:hint="eastAsia"/>
          <w:b/>
          <w:bCs/>
          <w:color w:val="auto"/>
          <w:sz w:val="32"/>
          <w:szCs w:val="32"/>
          <w:lang w:val="en-US" w:eastAsia="zh-CN"/>
        </w:rPr>
        <w:t>9</w:t>
      </w:r>
      <w:r>
        <w:rPr>
          <w:rFonts w:hint="eastAsia"/>
          <w:b/>
          <w:bCs/>
          <w:color w:val="auto"/>
          <w:sz w:val="32"/>
          <w:szCs w:val="32"/>
        </w:rPr>
        <w:t>.</w:t>
      </w:r>
      <w:r>
        <w:rPr>
          <w:rFonts w:hint="eastAsia"/>
          <w:b/>
          <w:bCs/>
          <w:color w:val="auto"/>
          <w:sz w:val="32"/>
          <w:szCs w:val="32"/>
          <w:lang w:eastAsia="zh-CN"/>
        </w:rPr>
        <w:t>功能板块</w:t>
      </w:r>
      <w:r>
        <w:rPr>
          <w:rFonts w:hint="eastAsia"/>
          <w:b/>
          <w:bCs/>
          <w:color w:val="auto"/>
          <w:sz w:val="32"/>
          <w:szCs w:val="32"/>
        </w:rPr>
        <w:t>安全</w:t>
      </w:r>
    </w:p>
    <w:p>
      <w:pPr>
        <w:pageBreakBefore w:val="0"/>
        <w:kinsoku/>
        <w:wordWrap/>
        <w:overflowPunct/>
        <w:topLinePunct w:val="0"/>
        <w:autoSpaceDE/>
        <w:autoSpaceDN/>
        <w:bidi w:val="0"/>
        <w:spacing w:line="560" w:lineRule="exact"/>
        <w:ind w:left="0" w:leftChars="0" w:firstLine="640" w:firstLineChars="200"/>
        <w:jc w:val="both"/>
        <w:textAlignment w:val="auto"/>
        <w:rPr>
          <w:rFonts w:hint="eastAsia" w:eastAsia="仿宋_GB2312"/>
          <w:color w:val="auto"/>
          <w:sz w:val="32"/>
          <w:szCs w:val="32"/>
          <w:lang w:eastAsia="zh-CN"/>
        </w:rPr>
      </w:pPr>
      <w:r>
        <w:rPr>
          <w:rFonts w:hint="eastAsia"/>
          <w:color w:val="auto"/>
          <w:sz w:val="32"/>
          <w:szCs w:val="32"/>
        </w:rPr>
        <w:t>健全完善</w:t>
      </w:r>
      <w:r>
        <w:rPr>
          <w:rFonts w:hint="eastAsia"/>
          <w:color w:val="auto"/>
          <w:sz w:val="32"/>
          <w:szCs w:val="32"/>
          <w:lang w:eastAsia="zh-CN"/>
        </w:rPr>
        <w:t>上合物流园（连云</w:t>
      </w:r>
      <w:r>
        <w:rPr>
          <w:rFonts w:hint="eastAsia"/>
          <w:color w:val="auto"/>
          <w:sz w:val="32"/>
          <w:szCs w:val="32"/>
        </w:rPr>
        <w:t>经济开发区</w:t>
      </w:r>
      <w:r>
        <w:rPr>
          <w:rFonts w:hint="eastAsia"/>
          <w:color w:val="auto"/>
          <w:sz w:val="32"/>
          <w:szCs w:val="32"/>
          <w:lang w:eastAsia="zh-CN"/>
        </w:rPr>
        <w:t>）</w:t>
      </w:r>
      <w:r>
        <w:rPr>
          <w:rFonts w:hint="eastAsia"/>
          <w:color w:val="auto"/>
          <w:sz w:val="32"/>
          <w:szCs w:val="32"/>
        </w:rPr>
        <w:t>安全生产管理体制机制，实施安全生产一体化管理，实现园区安全风险评估完</w:t>
      </w:r>
      <w:r>
        <w:rPr>
          <w:rFonts w:hint="eastAsia" w:ascii="Times New Roman" w:hAnsi="Times New Roman" w:eastAsia="仿宋_GB2312" w:cs="仿宋_GB2312"/>
          <w:kern w:val="2"/>
          <w:sz w:val="32"/>
          <w:szCs w:val="32"/>
          <w:lang w:val="en-US" w:eastAsia="zh-CN" w:bidi="ar-SA"/>
        </w:rPr>
        <w:t>成率</w:t>
      </w:r>
      <w:r>
        <w:rPr>
          <w:rFonts w:hint="eastAsia" w:ascii="Times New Roman" w:hAnsi="Times New Roman" w:eastAsia="仿宋_GB2312" w:cs="宋体"/>
          <w:color w:val="000000"/>
          <w:sz w:val="32"/>
          <w:szCs w:val="32"/>
          <w:lang w:val="en-US" w:eastAsia="zh-CN" w:bidi="ar-SA"/>
        </w:rPr>
        <w:t>100%</w:t>
      </w:r>
      <w:r>
        <w:rPr>
          <w:rFonts w:hint="eastAsia" w:ascii="Times New Roman" w:hAnsi="Times New Roman" w:eastAsia="仿宋_GB2312" w:cs="仿宋_GB2312"/>
          <w:kern w:val="2"/>
          <w:sz w:val="32"/>
          <w:szCs w:val="32"/>
          <w:lang w:val="en-US" w:eastAsia="zh-CN" w:bidi="ar-SA"/>
        </w:rPr>
        <w:t>。加强安全生产源头管控，优化园区规划布局，严把项目准入关，完善园区应急救援设施、消防设施等公用工程配套和安全</w:t>
      </w:r>
      <w:r>
        <w:rPr>
          <w:rFonts w:hint="eastAsia"/>
          <w:color w:val="auto"/>
          <w:sz w:val="32"/>
          <w:szCs w:val="32"/>
        </w:rPr>
        <w:t>保障设施。深化冶金</w:t>
      </w:r>
      <w:r>
        <w:rPr>
          <w:rFonts w:hint="eastAsia"/>
          <w:color w:val="auto"/>
          <w:sz w:val="32"/>
          <w:szCs w:val="32"/>
          <w:lang w:eastAsia="zh-CN"/>
        </w:rPr>
        <w:t>化工</w:t>
      </w:r>
      <w:r>
        <w:rPr>
          <w:rFonts w:hint="eastAsia"/>
          <w:color w:val="auto"/>
          <w:sz w:val="32"/>
          <w:szCs w:val="32"/>
        </w:rPr>
        <w:t>等产业聚集区、仓储物流</w:t>
      </w:r>
      <w:r>
        <w:rPr>
          <w:rFonts w:hint="eastAsia"/>
          <w:color w:val="auto"/>
          <w:sz w:val="32"/>
          <w:szCs w:val="32"/>
          <w:lang w:eastAsia="zh-CN"/>
        </w:rPr>
        <w:t>功能区</w:t>
      </w:r>
      <w:r>
        <w:rPr>
          <w:rFonts w:hint="eastAsia"/>
          <w:color w:val="auto"/>
          <w:sz w:val="32"/>
          <w:szCs w:val="32"/>
        </w:rPr>
        <w:t>、港口码头等功能区安全管理。深化物流仓储</w:t>
      </w:r>
      <w:r>
        <w:rPr>
          <w:rFonts w:hint="eastAsia"/>
          <w:color w:val="auto"/>
          <w:sz w:val="32"/>
          <w:szCs w:val="32"/>
          <w:lang w:eastAsia="zh-CN"/>
        </w:rPr>
        <w:t>功能区</w:t>
      </w:r>
      <w:r>
        <w:rPr>
          <w:rFonts w:hint="eastAsia"/>
          <w:color w:val="auto"/>
          <w:sz w:val="32"/>
          <w:szCs w:val="32"/>
        </w:rPr>
        <w:t>风险隐患整治，加强物流仓储</w:t>
      </w:r>
      <w:r>
        <w:rPr>
          <w:rFonts w:hint="eastAsia"/>
          <w:color w:val="auto"/>
          <w:sz w:val="32"/>
          <w:szCs w:val="32"/>
          <w:lang w:eastAsia="zh-CN"/>
        </w:rPr>
        <w:t>功能区</w:t>
      </w:r>
      <w:r>
        <w:rPr>
          <w:rFonts w:hint="eastAsia"/>
          <w:color w:val="auto"/>
          <w:sz w:val="32"/>
          <w:szCs w:val="32"/>
        </w:rPr>
        <w:t>内危险货物运输车辆及装卸安全管理。推进智慧园区建设，建立园区集约化可视化安全监管信息共享平台。</w:t>
      </w:r>
    </w:p>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color w:val="auto"/>
        </w:rPr>
      </w:pPr>
      <w:r>
        <w:rPr>
          <w:rFonts w:hint="eastAsia"/>
          <w:color w:val="auto"/>
          <w:lang w:val="en-US" w:eastAsia="zh-CN"/>
        </w:rPr>
        <w:t>10</w:t>
      </w:r>
      <w:r>
        <w:rPr>
          <w:rFonts w:hint="eastAsia"/>
          <w:color w:val="auto"/>
        </w:rPr>
        <w:t>.文化旅游和</w:t>
      </w:r>
      <w:r>
        <w:rPr>
          <w:color w:val="auto"/>
        </w:rPr>
        <w:t>校园</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宋体"/>
          <w:color w:val="auto"/>
          <w:sz w:val="32"/>
          <w:szCs w:val="32"/>
          <w:lang w:val="en-US" w:eastAsia="zh-CN" w:bidi="ar-SA"/>
        </w:rPr>
      </w:pPr>
      <w:r>
        <w:rPr>
          <w:rFonts w:hint="eastAsia" w:ascii="仿宋_GB2312" w:hAnsi="宋体" w:eastAsia="仿宋_GB2312" w:cs="宋体"/>
          <w:color w:val="auto"/>
          <w:sz w:val="32"/>
          <w:szCs w:val="32"/>
          <w:lang w:val="en-US" w:eastAsia="zh-CN" w:bidi="ar-SA"/>
        </w:rPr>
        <w:t>持续推进文化和旅游行业安全风险评估工作，编制重大安全风险源清单、安全风险辨识评估报告、应急资源调查清单、应急能力评估报告。健全完善政府购买服务开展隐患排查机制，重点排查火灾防控、景区流量管控、景区防汛、高风险旅游项目安全隐患。严格落实文化和旅游企业安全生产主体责任，强化企业安全投入资金、制度、教育培训、应急演练等保障，提升企业安全生产防范能力。加强对星级饭店、</w:t>
      </w:r>
      <w:r>
        <w:rPr>
          <w:rFonts w:hint="eastAsia" w:ascii="Times New Roman" w:hAnsi="Times New Roman" w:eastAsia="仿宋_GB2312" w:cs="宋体"/>
          <w:color w:val="000000"/>
          <w:sz w:val="32"/>
          <w:szCs w:val="32"/>
          <w:lang w:val="en-US" w:eastAsia="zh-CN" w:bidi="ar-SA"/>
        </w:rPr>
        <w:t>A级</w:t>
      </w:r>
      <w:r>
        <w:rPr>
          <w:rFonts w:hint="eastAsia" w:ascii="仿宋_GB2312" w:hAnsi="宋体" w:eastAsia="仿宋_GB2312" w:cs="宋体"/>
          <w:color w:val="auto"/>
          <w:sz w:val="32"/>
          <w:szCs w:val="32"/>
          <w:lang w:val="en-US" w:eastAsia="zh-CN" w:bidi="ar-SA"/>
        </w:rPr>
        <w:t>景区、旅行社、歌厅、网吧、电子游艺厅、剧场等文化和旅游企业和图书馆等人员密集单位的执法检查力度。进一步推动安全生产标准化建设，督促文化和旅游行业重点单位开展标准化建设。</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auto"/>
          <w:sz w:val="32"/>
          <w:szCs w:val="32"/>
          <w:lang w:val="en-US" w:eastAsia="zh-CN" w:bidi="ar-SA"/>
        </w:rPr>
      </w:pPr>
      <w:r>
        <w:rPr>
          <w:rFonts w:hint="eastAsia" w:ascii="仿宋_GB2312" w:hAnsi="宋体" w:eastAsia="仿宋_GB2312" w:cs="宋体"/>
          <w:color w:val="auto"/>
          <w:sz w:val="32"/>
          <w:szCs w:val="32"/>
          <w:lang w:val="en-US" w:eastAsia="zh-CN" w:bidi="ar-SA"/>
        </w:rPr>
        <w:t>聚集政府、学校、社团、媒体等公共力量，共同关心校园、爱护校园、支持校园、帮助校园，提升校园安全综合治理能力。推进“江苏省高质量平安校园建设区”建设工作，全面实行校长（园长）责任制，健全完善学校安全责任体系，明确和落实校内各岗位安全职责。加强溺水、触电、踩踏、煤气中毒等安全事件的风险性预防，全面排查治理治安、消防、实验室、施工场所、特种设备、危险化学品、食品、大型活动等方面的安全隐患。加强校园安全管理信息化平台建设，利用现代信息技术手段，实现校园安全规范化、无纸化、全流程、全要素的动态管理。加强“开学第一课”安全主题教育，持续开展反恐防暴、应急救援、疏散演练等体验式的安全教育活动。</w:t>
      </w:r>
    </w:p>
    <w:p>
      <w:pPr>
        <w:pStyle w:val="4"/>
        <w:pageBreakBefore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32" w:name="_Toc11609"/>
      <w:r>
        <w:rPr>
          <w:rFonts w:hint="eastAsia" w:ascii="Times New Roman" w:hAnsi="Times New Roman" w:cs="Times New Roman"/>
          <w:b w:val="0"/>
          <w:bCs w:val="0"/>
          <w:color w:val="auto"/>
          <w:kern w:val="2"/>
          <w:szCs w:val="30"/>
        </w:rPr>
        <w:t>（二）完善安全</w:t>
      </w:r>
      <w:r>
        <w:rPr>
          <w:rFonts w:ascii="Times New Roman" w:hAnsi="Times New Roman" w:cs="Times New Roman"/>
          <w:b w:val="0"/>
          <w:bCs w:val="0"/>
          <w:color w:val="auto"/>
          <w:kern w:val="2"/>
          <w:szCs w:val="30"/>
        </w:rPr>
        <w:t>生产</w:t>
      </w:r>
      <w:r>
        <w:rPr>
          <w:rFonts w:hint="eastAsia" w:ascii="Times New Roman" w:hAnsi="Times New Roman" w:cs="Times New Roman"/>
          <w:b w:val="0"/>
          <w:bCs w:val="0"/>
          <w:color w:val="auto"/>
          <w:kern w:val="2"/>
          <w:szCs w:val="30"/>
        </w:rPr>
        <w:t>责任体系</w:t>
      </w:r>
      <w:bookmarkEnd w:id="31"/>
      <w:bookmarkEnd w:id="32"/>
    </w:p>
    <w:p>
      <w:pPr>
        <w:pStyle w:val="5"/>
        <w:pageBreakBefore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1.强化</w:t>
      </w:r>
      <w:r>
        <w:rPr>
          <w:color w:val="auto"/>
        </w:rPr>
        <w:t>党委政府责任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深入学习贯彻习近平总书记关于安全生产重要论述，扎实开展“百团进百万企业”安全生产宣讲，强化安全发展理念，坚决贯彻执行《地方党政领导干部安全生产责任制规定》《江苏省党政领导干部安全生产责任制规定实施细则》,完善党政领导干部安全生产职责清单和年度工作清单，落实党政领导干部安全生产工作报告制度，将履行安全生产工作责任情况列入各级党委和政府领导班子及其成员述职内容，优化党政领导干部安全生产常态化履职尽责机制。健全党政领导干部带队督查检查安全生产工作机制，探索建立实施新任领导干部任前安全生产教育培训、谈话提醒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b/>
          <w:bCs/>
          <w:color w:val="auto"/>
          <w:sz w:val="32"/>
          <w:szCs w:val="32"/>
        </w:rPr>
      </w:pPr>
      <w:r>
        <w:rPr>
          <w:rFonts w:hint="eastAsia"/>
          <w:b/>
          <w:bCs/>
          <w:color w:val="auto"/>
          <w:sz w:val="32"/>
          <w:szCs w:val="32"/>
        </w:rPr>
        <w:t>2.明确部门</w:t>
      </w:r>
      <w:r>
        <w:rPr>
          <w:b/>
          <w:bCs/>
          <w:color w:val="auto"/>
          <w:sz w:val="32"/>
          <w:szCs w:val="32"/>
        </w:rPr>
        <w:t>监管</w:t>
      </w:r>
      <w:r>
        <w:rPr>
          <w:rFonts w:hint="eastAsia"/>
          <w:b/>
          <w:bCs/>
          <w:color w:val="auto"/>
          <w:sz w:val="32"/>
          <w:szCs w:val="32"/>
        </w:rPr>
        <w:t>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严格落实“管行业必须管安全、管业务必须管安全、管生产经营必须管安全”和“谁主管、谁负责”要求，明晰各行业领域安全监管职责。细化完善负有安全监管职责部门权力清单和责任清单，规范</w:t>
      </w:r>
      <w:r>
        <w:rPr>
          <w:rFonts w:hint="eastAsia"/>
          <w:color w:val="auto"/>
          <w:sz w:val="32"/>
          <w:szCs w:val="32"/>
          <w:lang w:eastAsia="zh-CN"/>
        </w:rPr>
        <w:t>乡</w:t>
      </w:r>
      <w:r>
        <w:rPr>
          <w:rFonts w:hint="eastAsia"/>
          <w:color w:val="auto"/>
          <w:sz w:val="32"/>
          <w:szCs w:val="32"/>
        </w:rPr>
        <w:t>街、各功能板块安全生产监管机构的职能设置和人员配备。理顺新领域、新业态安全监管职责，建立动态调整机制，及时界定行业主管部门，厘清综合监管部门与各行业主管部门之间的职责边界，填补各行业领域安全监管职责空白。加强部门协同</w:t>
      </w:r>
      <w:r>
        <w:rPr>
          <w:color w:val="auto"/>
          <w:sz w:val="32"/>
          <w:szCs w:val="32"/>
        </w:rPr>
        <w:t>，</w:t>
      </w:r>
      <w:r>
        <w:rPr>
          <w:rFonts w:hint="eastAsia"/>
          <w:color w:val="auto"/>
          <w:sz w:val="32"/>
          <w:szCs w:val="32"/>
        </w:rPr>
        <w:t>完善安全风险会商研判、防控协同和安全保障机制，形成监管合力。优化各级安委会办公室实体化运行规则，落实警示提示、约谈督办等制度，统筹推动部门监管责任的有效落实。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b/>
          <w:bCs/>
          <w:color w:val="auto"/>
          <w:sz w:val="32"/>
          <w:szCs w:val="32"/>
        </w:rPr>
      </w:pPr>
      <w:r>
        <w:rPr>
          <w:rFonts w:hint="eastAsia"/>
          <w:b/>
          <w:bCs/>
          <w:color w:val="auto"/>
          <w:sz w:val="32"/>
          <w:szCs w:val="32"/>
        </w:rPr>
        <w:t>3.压实</w:t>
      </w:r>
      <w:r>
        <w:rPr>
          <w:b/>
          <w:bCs/>
          <w:color w:val="auto"/>
          <w:sz w:val="32"/>
          <w:szCs w:val="32"/>
        </w:rPr>
        <w:t>企业主体责任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严格落实《江苏省工业企业安全生产风险报告规定》，建立企业安全风险辨识评估、管控、警示报告制度，健全企业生产经营责任全过程追溯制度，完善企业安全生产承诺制度，推动企业建立自我约束、持续改进的安全生产内生机制。深入实施《落实企业安全生产主体责任》专题，落实企业安全生产主体责任重点事项</w:t>
      </w:r>
      <w:r>
        <w:rPr>
          <w:rFonts w:hint="eastAsia" w:ascii="Times New Roman" w:hAnsi="Times New Roman" w:eastAsia="仿宋_GB2312" w:cs="宋体"/>
          <w:color w:val="000000"/>
          <w:sz w:val="32"/>
          <w:szCs w:val="32"/>
          <w:lang w:val="en-US" w:eastAsia="zh-CN" w:bidi="ar-SA"/>
        </w:rPr>
        <w:t>20项</w:t>
      </w:r>
      <w:r>
        <w:rPr>
          <w:rFonts w:hint="eastAsia"/>
          <w:color w:val="auto"/>
          <w:sz w:val="32"/>
          <w:szCs w:val="32"/>
        </w:rPr>
        <w:t>清单，</w:t>
      </w:r>
      <w:r>
        <w:rPr>
          <w:color w:val="auto"/>
          <w:sz w:val="32"/>
          <w:szCs w:val="32"/>
        </w:rPr>
        <w:t>压实企业第一责任人、全员岗位、安全防控、基础管理和应急处置等责任。</w:t>
      </w:r>
      <w:r>
        <w:rPr>
          <w:rFonts w:hint="eastAsia"/>
          <w:color w:val="auto"/>
          <w:sz w:val="32"/>
          <w:szCs w:val="32"/>
        </w:rPr>
        <w:t>建立</w:t>
      </w:r>
      <w:r>
        <w:rPr>
          <w:color w:val="auto"/>
          <w:sz w:val="32"/>
          <w:szCs w:val="32"/>
        </w:rPr>
        <w:t>健全安全管理机构</w:t>
      </w:r>
      <w:r>
        <w:rPr>
          <w:rFonts w:hint="eastAsia"/>
          <w:color w:val="auto"/>
          <w:sz w:val="32"/>
          <w:szCs w:val="32"/>
        </w:rPr>
        <w:t>，</w:t>
      </w:r>
      <w:r>
        <w:rPr>
          <w:color w:val="auto"/>
          <w:sz w:val="32"/>
          <w:szCs w:val="32"/>
        </w:rPr>
        <w:t>配齐安全管理人员</w:t>
      </w:r>
      <w:r>
        <w:rPr>
          <w:rFonts w:hint="eastAsia"/>
          <w:color w:val="auto"/>
          <w:sz w:val="32"/>
          <w:szCs w:val="32"/>
        </w:rPr>
        <w:t>，完善以建立企业技术和管理团队为重点的规范化安全生产管理制度；加强安全生产标准化建设，完善安全风险分级管控和隐患排查治理双重预防控制</w:t>
      </w:r>
      <w:r>
        <w:rPr>
          <w:color w:val="auto"/>
          <w:sz w:val="32"/>
          <w:szCs w:val="32"/>
        </w:rPr>
        <w:t>体系</w:t>
      </w:r>
      <w:r>
        <w:rPr>
          <w:rFonts w:hint="eastAsia"/>
          <w:color w:val="auto"/>
          <w:sz w:val="32"/>
          <w:szCs w:val="32"/>
        </w:rPr>
        <w:t>，夯实企业安全生产基础。推广安全生产责任保险，完善企业安全生产费用提取管理使用办法和审计监督机制。鼓励企业加大安全投入，用足用好企业安全生产有关财税政策。督促企业关注从业人员的身体、心理状况和行为习惯，实施工伤预防行动计划，建立工伤预防联防联控机制，科学进行工伤保险费率浮动。</w:t>
      </w:r>
    </w:p>
    <w:tbl>
      <w:tblPr>
        <w:tblStyle w:val="17"/>
        <w:tblW w:w="8316" w:type="dxa"/>
        <w:tblInd w:w="112" w:type="dxa"/>
        <w:tblLayout w:type="fixed"/>
        <w:tblCellMar>
          <w:top w:w="0" w:type="dxa"/>
          <w:left w:w="10" w:type="dxa"/>
          <w:bottom w:w="0" w:type="dxa"/>
          <w:right w:w="10" w:type="dxa"/>
        </w:tblCellMar>
      </w:tblPr>
      <w:tblGrid>
        <w:gridCol w:w="8316"/>
      </w:tblGrid>
      <w:tr>
        <w:tblPrEx>
          <w:tblCellMar>
            <w:top w:w="0" w:type="dxa"/>
            <w:left w:w="10" w:type="dxa"/>
            <w:bottom w:w="0" w:type="dxa"/>
            <w:right w:w="10" w:type="dxa"/>
          </w:tblCellMar>
        </w:tblPrEx>
        <w:trPr>
          <w:trHeight w:val="567" w:hRule="atLeast"/>
        </w:trPr>
        <w:tc>
          <w:tcPr>
            <w:tcW w:w="8316"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overflowPunct w:val="0"/>
              <w:topLinePunct w:val="0"/>
              <w:bidi w:val="0"/>
              <w:spacing w:line="550" w:lineRule="exact"/>
              <w:jc w:val="center"/>
              <w:textAlignment w:val="auto"/>
              <w:rPr>
                <w:szCs w:val="22"/>
                <w:lang w:bidi="zh-CN"/>
              </w:rPr>
            </w:pPr>
            <w:r>
              <w:rPr>
                <w:rFonts w:hint="eastAsia" w:eastAsia="黑体"/>
                <w:sz w:val="28"/>
                <w:szCs w:val="28"/>
              </w:rPr>
              <w:t>专栏</w:t>
            </w:r>
            <w:r>
              <w:rPr>
                <w:rFonts w:hint="eastAsia" w:eastAsia="黑体"/>
                <w:sz w:val="28"/>
                <w:szCs w:val="28"/>
                <w:lang w:val="en-US" w:eastAsia="zh-CN"/>
              </w:rPr>
              <w:t xml:space="preserve">7 </w:t>
            </w:r>
            <w:r>
              <w:rPr>
                <w:rFonts w:hint="eastAsia" w:eastAsia="黑体"/>
                <w:sz w:val="28"/>
                <w:szCs w:val="28"/>
              </w:rPr>
              <w:t>企业安全生产主体责任</w:t>
            </w:r>
          </w:p>
        </w:tc>
      </w:tr>
      <w:tr>
        <w:tblPrEx>
          <w:tblCellMar>
            <w:top w:w="0" w:type="dxa"/>
            <w:left w:w="10" w:type="dxa"/>
            <w:bottom w:w="0" w:type="dxa"/>
            <w:right w:w="10" w:type="dxa"/>
          </w:tblCellMar>
        </w:tblPrEx>
        <w:tc>
          <w:tcPr>
            <w:tcW w:w="83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1.企业主要负责人、安全管理人员、特种作业人员三项岗位人员持证上岗率达到100%；</w:t>
            </w:r>
          </w:p>
          <w:p>
            <w:pPr>
              <w:spacing w:line="300" w:lineRule="auto"/>
              <w:ind w:firstLine="480" w:firstLineChars="200"/>
              <w:rPr>
                <w:rFonts w:ascii="楷体_GB2312" w:eastAsia="楷体_GB2312"/>
                <w:sz w:val="24"/>
              </w:rPr>
            </w:pPr>
            <w:r>
              <w:rPr>
                <w:rFonts w:hint="eastAsia" w:ascii="楷体_GB2312" w:eastAsia="楷体_GB2312"/>
                <w:color w:val="auto"/>
                <w:sz w:val="24"/>
              </w:rPr>
              <w:t>2.到2025年，企业全员安全培训率达到100%。</w:t>
            </w:r>
          </w:p>
        </w:tc>
      </w:tr>
    </w:tbl>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4.严格目标责任考核</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健全各</w:t>
      </w:r>
      <w:r>
        <w:rPr>
          <w:color w:val="auto"/>
          <w:sz w:val="32"/>
          <w:szCs w:val="32"/>
        </w:rPr>
        <w:t>级</w:t>
      </w:r>
      <w:r>
        <w:rPr>
          <w:rFonts w:hint="eastAsia"/>
          <w:color w:val="auto"/>
          <w:sz w:val="32"/>
          <w:szCs w:val="32"/>
        </w:rPr>
        <w:t>党委政府和</w:t>
      </w:r>
      <w:r>
        <w:rPr>
          <w:color w:val="auto"/>
          <w:sz w:val="32"/>
          <w:szCs w:val="32"/>
        </w:rPr>
        <w:t>安委会成员单位</w:t>
      </w:r>
      <w:r>
        <w:rPr>
          <w:rFonts w:hint="eastAsia"/>
          <w:color w:val="auto"/>
          <w:sz w:val="32"/>
          <w:szCs w:val="32"/>
        </w:rPr>
        <w:t>安全生产责任考核评价制度，实行过程性考核和结果性考核相结合，严格落实安全生产“一票否决”制度。建立各级安委会成员单位主要负责人安全生产述职评议制度，</w:t>
      </w:r>
      <w:bookmarkStart w:id="33" w:name="_Toc40947953"/>
      <w:bookmarkStart w:id="34" w:name="_Toc78467534"/>
      <w:r>
        <w:rPr>
          <w:rFonts w:hint="eastAsia"/>
          <w:color w:val="auto"/>
          <w:sz w:val="32"/>
          <w:szCs w:val="32"/>
        </w:rPr>
        <w:t>完善安全生产绩效与履职评定、职务晋升、奖励惩处挂钩制度，落实纪检监察部门安全生产违法违纪问题线索移交查办工作机制。完善事故调查处理机制，强化事故警示教育，建立事故暴露问题整改督办制度，加强对事故查处和责任追究落实情况的跟踪评估。</w:t>
      </w:r>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35" w:name="_Toc20854"/>
      <w:r>
        <w:rPr>
          <w:rFonts w:hint="eastAsia" w:ascii="Times New Roman" w:hAnsi="Times New Roman" w:cs="Times New Roman"/>
          <w:b w:val="0"/>
          <w:bCs w:val="0"/>
          <w:color w:val="auto"/>
          <w:kern w:val="2"/>
          <w:szCs w:val="30"/>
        </w:rPr>
        <w:t>（三）完善安全风险防控体系</w:t>
      </w:r>
      <w:bookmarkEnd w:id="35"/>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1.强化安全生产源头管控</w:t>
      </w:r>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sz w:val="32"/>
          <w:szCs w:val="32"/>
        </w:rPr>
      </w:pPr>
      <w:r>
        <w:rPr>
          <w:rFonts w:hint="eastAsia"/>
          <w:b/>
          <w:color w:val="auto"/>
          <w:sz w:val="32"/>
          <w:szCs w:val="32"/>
          <w:lang w:val="en-US" w:eastAsia="zh-CN"/>
        </w:rPr>
        <w:t>(1)</w:t>
      </w:r>
      <w:r>
        <w:rPr>
          <w:rFonts w:hint="eastAsia"/>
          <w:b/>
          <w:color w:val="auto"/>
          <w:sz w:val="32"/>
          <w:szCs w:val="32"/>
        </w:rPr>
        <w:t>以规划布局引导构建安全发展格局。</w:t>
      </w:r>
      <w:r>
        <w:rPr>
          <w:rFonts w:hint="eastAsia"/>
          <w:color w:val="auto"/>
          <w:sz w:val="32"/>
          <w:szCs w:val="32"/>
        </w:rPr>
        <w:t>建立安全风险评估与论证机制，加强安全生产规划与国土空间规划等相关规划相衔接，对重大安全风险实施联防联控。严格规划选址、布局、建设、使用，加快形成有效防控重大安全风险的城市空间格局、产业结构和生产生活方式布局。推动</w:t>
      </w:r>
      <w:r>
        <w:rPr>
          <w:color w:val="auto"/>
          <w:sz w:val="32"/>
          <w:szCs w:val="32"/>
        </w:rPr>
        <w:t>化工产业转型升级，</w:t>
      </w:r>
      <w:r>
        <w:rPr>
          <w:rFonts w:hint="eastAsia"/>
          <w:color w:val="auto"/>
          <w:sz w:val="32"/>
          <w:szCs w:val="32"/>
        </w:rPr>
        <w:t>淘汰落后产能，从源头上防范和化解安全风险。完善规划安全风险评估会商机制，以产业园区规划安全风险评估为重点，推动产业园区尤其是化工园（集中）区智慧化、循环化、绿色化改造，实施“一园一策”规范化管理。在城市规划、产业发展规划、重大项目的前置规划、设计和审批等环节，实行重大安全风险“一票否决”制度。</w:t>
      </w:r>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sz w:val="32"/>
          <w:szCs w:val="32"/>
        </w:rPr>
      </w:pPr>
      <w:r>
        <w:rPr>
          <w:rFonts w:hint="eastAsia"/>
          <w:b/>
          <w:color w:val="auto"/>
          <w:sz w:val="32"/>
          <w:szCs w:val="32"/>
          <w:lang w:val="en-US" w:eastAsia="zh-CN"/>
        </w:rPr>
        <w:t>(2)</w:t>
      </w:r>
      <w:r>
        <w:rPr>
          <w:rFonts w:hint="eastAsia"/>
          <w:b/>
          <w:color w:val="auto"/>
          <w:sz w:val="32"/>
          <w:szCs w:val="32"/>
        </w:rPr>
        <w:t>以严格安全准入筑牢安全发展防线。</w:t>
      </w:r>
      <w:r>
        <w:rPr>
          <w:rFonts w:hint="eastAsia"/>
          <w:color w:val="auto"/>
          <w:sz w:val="32"/>
          <w:szCs w:val="32"/>
        </w:rPr>
        <w:t>严格高危行业领域新建项目准入</w:t>
      </w:r>
      <w:r>
        <w:rPr>
          <w:color w:val="auto"/>
          <w:sz w:val="32"/>
          <w:szCs w:val="32"/>
        </w:rPr>
        <w:t>条件和</w:t>
      </w:r>
      <w:r>
        <w:rPr>
          <w:rFonts w:hint="eastAsia"/>
          <w:color w:val="auto"/>
          <w:sz w:val="32"/>
          <w:szCs w:val="32"/>
        </w:rPr>
        <w:t xml:space="preserve">安全审查，从工艺、技术、设备多方面强化全过程安全监管。强化市场安全准入负面清单管理，严格执行危险化学品“禁限控”目录，建立落后产能常态化淘汰退出机制，加快关闭不符合安全要求的化工高危行业企业，加大违法产能打击力度、低端产能淘汰力度，防范产业升级过程中的系统风险。严格执行企业新建、改建、扩建工程项目安全生产“三同时”制度，依法实施高危行业领域建设项目安全审查。严格高危行业领域企业负责人、安全管理人员和特种作业人员等从业人员安全资格准入条件，依法实施市场和行业禁入措施。严格危险化学品、金属冶炼、建筑施工、危货运输、海洋渔业等重点行业领域关键岗位操作人员强制配备与资格准入。 </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2.加强安全风险防控</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推动企业根据自身特点，科学制定安全风险辨识管控制度，确定符合本单位安全生产实际的辨识方法和程序，定期</w:t>
      </w:r>
      <w:r>
        <w:rPr>
          <w:color w:val="auto"/>
          <w:sz w:val="32"/>
          <w:szCs w:val="32"/>
        </w:rPr>
        <w:t>组织</w:t>
      </w:r>
      <w:r>
        <w:rPr>
          <w:rFonts w:hint="eastAsia"/>
          <w:color w:val="auto"/>
          <w:sz w:val="32"/>
          <w:szCs w:val="32"/>
        </w:rPr>
        <w:t>对生产工艺、设备设施、作业环境、人员行为和管理体系等方面存在的安全风险进行全面、系统辨识。严格</w:t>
      </w:r>
      <w:r>
        <w:rPr>
          <w:color w:val="auto"/>
          <w:sz w:val="32"/>
          <w:szCs w:val="32"/>
        </w:rPr>
        <w:t>落实</w:t>
      </w:r>
      <w:r>
        <w:rPr>
          <w:rFonts w:hint="eastAsia"/>
          <w:color w:val="auto"/>
          <w:sz w:val="32"/>
          <w:szCs w:val="32"/>
        </w:rPr>
        <w:t>安全风险报告和管控制度，定期向相关监管部门报告</w:t>
      </w:r>
      <w:r>
        <w:rPr>
          <w:color w:val="auto"/>
          <w:sz w:val="32"/>
          <w:szCs w:val="32"/>
        </w:rPr>
        <w:t>较大以上安全风险。</w:t>
      </w:r>
      <w:r>
        <w:rPr>
          <w:rFonts w:hint="eastAsia"/>
          <w:color w:val="auto"/>
          <w:sz w:val="32"/>
          <w:szCs w:val="32"/>
        </w:rPr>
        <w:t>全面开展城市安全风险评估和安全发展城市创建，建立全</w:t>
      </w:r>
      <w:r>
        <w:rPr>
          <w:rFonts w:hint="eastAsia"/>
          <w:color w:val="auto"/>
          <w:sz w:val="32"/>
          <w:szCs w:val="32"/>
          <w:lang w:eastAsia="zh-CN"/>
        </w:rPr>
        <w:t>区</w:t>
      </w:r>
      <w:r>
        <w:rPr>
          <w:rFonts w:hint="eastAsia"/>
          <w:color w:val="auto"/>
          <w:sz w:val="32"/>
          <w:szCs w:val="32"/>
        </w:rPr>
        <w:t>安全风险清单库和电子地图，健全城市建设与运行安全风险管控责任体系、城市安全风险评估动态更新机制和重大安全风险联防联控机制。对存在重大安全风险的场所、区域进行重点管控，</w:t>
      </w:r>
      <w:r>
        <w:rPr>
          <w:color w:val="auto"/>
          <w:sz w:val="32"/>
          <w:szCs w:val="32"/>
        </w:rPr>
        <w:t>制定切实可行的防范化解措施</w:t>
      </w:r>
      <w:r>
        <w:rPr>
          <w:rFonts w:hint="eastAsia"/>
          <w:color w:val="auto"/>
          <w:sz w:val="32"/>
          <w:szCs w:val="32"/>
        </w:rPr>
        <w:t xml:space="preserve">。加强城市各类防灾减灾救灾基础设施建设，加快构建以安全生产为基础的城市安全发展体系，提升城市安全保障水平。 </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3.加强风险监测预警</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pPr>
      <w:r>
        <w:rPr>
          <w:rFonts w:hint="eastAsia"/>
          <w:color w:val="auto"/>
          <w:sz w:val="32"/>
          <w:szCs w:val="32"/>
        </w:rPr>
        <w:t>强化安全风险动态监测预警</w:t>
      </w:r>
      <w:r>
        <w:rPr>
          <w:color w:val="auto"/>
          <w:sz w:val="32"/>
          <w:szCs w:val="32"/>
        </w:rPr>
        <w:t>,</w:t>
      </w:r>
      <w:r>
        <w:rPr>
          <w:rFonts w:hint="eastAsia"/>
          <w:color w:val="auto"/>
          <w:sz w:val="32"/>
          <w:szCs w:val="32"/>
        </w:rPr>
        <w:t>推进各行业领域安全生产风险监测预警机制和监测监控系统建设</w:t>
      </w:r>
      <w:r>
        <w:rPr>
          <w:color w:val="auto"/>
          <w:sz w:val="32"/>
          <w:szCs w:val="32"/>
        </w:rPr>
        <w:t xml:space="preserve">, </w:t>
      </w:r>
      <w:r>
        <w:rPr>
          <w:rFonts w:hint="eastAsia"/>
          <w:color w:val="auto"/>
          <w:sz w:val="32"/>
          <w:szCs w:val="32"/>
        </w:rPr>
        <w:t>推进城市生命线和重大危险源安全风险监测预警网络建设</w:t>
      </w:r>
      <w:r>
        <w:rPr>
          <w:color w:val="auto"/>
          <w:sz w:val="32"/>
          <w:szCs w:val="32"/>
        </w:rPr>
        <w:t>,</w:t>
      </w:r>
      <w:r>
        <w:rPr>
          <w:rFonts w:hint="eastAsia"/>
          <w:color w:val="auto"/>
          <w:sz w:val="32"/>
          <w:szCs w:val="32"/>
        </w:rPr>
        <w:t>加强重大活动安全风险评估，强化景区人流、人员密集场所等大客流监测预警和应急管控处置，实现重点区域安全风险监测数据管控和早期预警信息发布。加强危化品仓储、油气、水利、核电等重大工程和设施安全风险防控，</w:t>
      </w:r>
      <w:r>
        <w:rPr>
          <w:rFonts w:hint="eastAsia" w:ascii="Times New Roman" w:hAnsi="Times New Roman" w:eastAsia="仿宋_GB2312" w:cs="仿宋_GB2312"/>
          <w:kern w:val="2"/>
          <w:sz w:val="32"/>
          <w:szCs w:val="32"/>
          <w:lang w:val="en-US" w:eastAsia="zh-CN" w:bidi="ar-SA"/>
        </w:rPr>
        <w:t>推动5G、物联网、大数据、人工智能、自动控制等技术与安全生产风险防</w:t>
      </w:r>
      <w:r>
        <w:rPr>
          <w:color w:val="auto"/>
          <w:sz w:val="32"/>
          <w:szCs w:val="32"/>
        </w:rPr>
        <w:t>控深度融合，提高事前智能分析判断能力。</w:t>
      </w:r>
    </w:p>
    <w:tbl>
      <w:tblPr>
        <w:tblStyle w:val="17"/>
        <w:tblW w:w="8334" w:type="dxa"/>
        <w:tblInd w:w="78" w:type="dxa"/>
        <w:tblLayout w:type="fixed"/>
        <w:tblCellMar>
          <w:top w:w="0" w:type="dxa"/>
          <w:left w:w="10" w:type="dxa"/>
          <w:bottom w:w="0" w:type="dxa"/>
          <w:right w:w="10" w:type="dxa"/>
        </w:tblCellMar>
      </w:tblPr>
      <w:tblGrid>
        <w:gridCol w:w="8334"/>
      </w:tblGrid>
      <w:tr>
        <w:tblPrEx>
          <w:tblCellMar>
            <w:top w:w="0" w:type="dxa"/>
            <w:left w:w="10" w:type="dxa"/>
            <w:bottom w:w="0" w:type="dxa"/>
            <w:right w:w="10" w:type="dxa"/>
          </w:tblCellMar>
        </w:tblPrEx>
        <w:trPr>
          <w:trHeight w:val="567" w:hRule="atLeast"/>
        </w:trPr>
        <w:tc>
          <w:tcPr>
            <w:tcW w:w="8334"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topLinePunct w:val="0"/>
              <w:bidi w:val="0"/>
              <w:spacing w:line="550" w:lineRule="exact"/>
              <w:jc w:val="center"/>
              <w:textAlignment w:val="auto"/>
              <w:rPr>
                <w:szCs w:val="22"/>
                <w:lang w:bidi="zh-CN"/>
              </w:rPr>
            </w:pPr>
            <w:r>
              <w:rPr>
                <w:rFonts w:hint="eastAsia" w:eastAsia="黑体"/>
                <w:sz w:val="28"/>
                <w:szCs w:val="28"/>
              </w:rPr>
              <w:t>专栏</w:t>
            </w:r>
            <w:r>
              <w:rPr>
                <w:rFonts w:hint="eastAsia" w:eastAsia="黑体"/>
                <w:sz w:val="28"/>
                <w:szCs w:val="28"/>
                <w:lang w:val="en-US" w:eastAsia="zh-CN"/>
              </w:rPr>
              <w:t xml:space="preserve">8  </w:t>
            </w:r>
            <w:r>
              <w:rPr>
                <w:rFonts w:hint="eastAsia" w:eastAsia="黑体"/>
                <w:sz w:val="28"/>
                <w:szCs w:val="28"/>
              </w:rPr>
              <w:t>安全风险防控</w:t>
            </w:r>
          </w:p>
        </w:tc>
      </w:tr>
      <w:tr>
        <w:tblPrEx>
          <w:tblCellMar>
            <w:top w:w="0" w:type="dxa"/>
            <w:left w:w="10" w:type="dxa"/>
            <w:bottom w:w="0" w:type="dxa"/>
            <w:right w:w="10" w:type="dxa"/>
          </w:tblCellMar>
        </w:tblPrEx>
        <w:tc>
          <w:tcPr>
            <w:tcW w:w="83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1.到2022年，各类企业建立完善的安全风险管控制度；</w:t>
            </w:r>
          </w:p>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2.到2023年，实现建筑施工、交通、危化、工矿商贸等重点行业领域安全风险评估全覆盖；</w:t>
            </w:r>
          </w:p>
          <w:p>
            <w:pPr>
              <w:spacing w:line="300" w:lineRule="auto"/>
              <w:ind w:firstLine="480" w:firstLineChars="200"/>
              <w:rPr>
                <w:sz w:val="24"/>
              </w:rPr>
            </w:pPr>
            <w:r>
              <w:rPr>
                <w:rFonts w:hint="eastAsia" w:ascii="楷体_GB2312" w:eastAsia="楷体_GB2312"/>
                <w:color w:val="auto"/>
                <w:sz w:val="24"/>
              </w:rPr>
              <w:t>3.到2025年，辨识确定的重大安全生产风险源管控率达到100%。</w:t>
            </w:r>
          </w:p>
        </w:tc>
      </w:tr>
    </w:tbl>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color w:val="auto"/>
        </w:rPr>
      </w:pPr>
      <w:r>
        <w:rPr>
          <w:color w:val="auto"/>
        </w:rPr>
        <w:t>4</w:t>
      </w:r>
      <w:r>
        <w:rPr>
          <w:rFonts w:hint="eastAsia"/>
          <w:color w:val="auto"/>
        </w:rPr>
        <w:t>.强化隐患排查治理</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进一步深化</w:t>
      </w:r>
      <w:r>
        <w:rPr>
          <w:color w:val="auto"/>
          <w:sz w:val="32"/>
          <w:szCs w:val="32"/>
        </w:rPr>
        <w:t>落实</w:t>
      </w:r>
      <w:r>
        <w:rPr>
          <w:rFonts w:hint="eastAsia"/>
          <w:color w:val="auto"/>
          <w:sz w:val="32"/>
          <w:szCs w:val="32"/>
        </w:rPr>
        <w:t>企业安全生产隐患排查治理制度，完善隐患排查、治理、记录、通报、报告等程序方法和标准，形成安全生产责任落实、问题处置和隐患整改</w:t>
      </w:r>
      <w:r>
        <w:rPr>
          <w:color w:val="auto"/>
          <w:sz w:val="32"/>
          <w:szCs w:val="32"/>
        </w:rPr>
        <w:t>“</w:t>
      </w:r>
      <w:r>
        <w:rPr>
          <w:rFonts w:hint="eastAsia"/>
          <w:color w:val="auto"/>
          <w:sz w:val="32"/>
          <w:szCs w:val="32"/>
        </w:rPr>
        <w:t>三个闭环</w:t>
      </w:r>
      <w:r>
        <w:rPr>
          <w:color w:val="auto"/>
          <w:sz w:val="32"/>
          <w:szCs w:val="32"/>
        </w:rPr>
        <w:t>”</w:t>
      </w:r>
      <w:r>
        <w:rPr>
          <w:rFonts w:hint="eastAsia"/>
          <w:color w:val="auto"/>
          <w:sz w:val="32"/>
          <w:szCs w:val="32"/>
        </w:rPr>
        <w:t>。深入开展</w:t>
      </w:r>
      <w:r>
        <w:rPr>
          <w:color w:val="auto"/>
          <w:sz w:val="32"/>
          <w:szCs w:val="32"/>
        </w:rPr>
        <w:t>“</w:t>
      </w:r>
      <w:r>
        <w:rPr>
          <w:rFonts w:hint="eastAsia"/>
          <w:color w:val="auto"/>
          <w:sz w:val="32"/>
          <w:szCs w:val="32"/>
        </w:rPr>
        <w:t>暗访</w:t>
      </w:r>
      <w:r>
        <w:rPr>
          <w:color w:val="auto"/>
          <w:sz w:val="32"/>
          <w:szCs w:val="32"/>
        </w:rPr>
        <w:t>+</w:t>
      </w:r>
      <w:r>
        <w:rPr>
          <w:rFonts w:hint="eastAsia"/>
          <w:color w:val="auto"/>
          <w:sz w:val="32"/>
          <w:szCs w:val="32"/>
        </w:rPr>
        <w:t>平台交办</w:t>
      </w:r>
      <w:r>
        <w:rPr>
          <w:color w:val="auto"/>
          <w:sz w:val="32"/>
          <w:szCs w:val="32"/>
        </w:rPr>
        <w:t>+</w:t>
      </w:r>
      <w:r>
        <w:rPr>
          <w:rFonts w:hint="eastAsia"/>
          <w:color w:val="auto"/>
          <w:sz w:val="32"/>
          <w:szCs w:val="32"/>
        </w:rPr>
        <w:t>纪委介入</w:t>
      </w:r>
      <w:r>
        <w:rPr>
          <w:color w:val="auto"/>
          <w:sz w:val="32"/>
          <w:szCs w:val="32"/>
        </w:rPr>
        <w:t>”</w:t>
      </w:r>
      <w:r>
        <w:rPr>
          <w:rFonts w:hint="eastAsia"/>
          <w:color w:val="auto"/>
          <w:sz w:val="32"/>
          <w:szCs w:val="32"/>
        </w:rPr>
        <w:t>治理模式，推进安全监管与纪检监督执纪深度融合。督促企业严格落实重大事故隐患排查治理定期向负有安全生产监督管理职责的部门和企业职代会“双报告”制度。推动企业加强各类危险源、危险作业安全管理，完成重大危险源、危险作业事项的排查建档。健全重大事故隐患治理督办制度，强化重大事故隐患治理全程督办，规范重大事故隐患治理档案管理。完善隐患排查治理“一张网”信息化管理系统功能，实现隐患动态分析、全过程记录管理和评价。</w:t>
      </w:r>
      <w:bookmarkStart w:id="36" w:name="_Toc54039169"/>
      <w:bookmarkEnd w:id="36"/>
    </w:p>
    <w:tbl>
      <w:tblPr>
        <w:tblStyle w:val="17"/>
        <w:tblW w:w="8811" w:type="dxa"/>
        <w:tblInd w:w="112" w:type="dxa"/>
        <w:tblLayout w:type="fixed"/>
        <w:tblCellMar>
          <w:top w:w="0" w:type="dxa"/>
          <w:left w:w="10" w:type="dxa"/>
          <w:bottom w:w="0" w:type="dxa"/>
          <w:right w:w="10" w:type="dxa"/>
        </w:tblCellMar>
      </w:tblPr>
      <w:tblGrid>
        <w:gridCol w:w="8811"/>
      </w:tblGrid>
      <w:tr>
        <w:tblPrEx>
          <w:tblCellMar>
            <w:top w:w="0" w:type="dxa"/>
            <w:left w:w="10" w:type="dxa"/>
            <w:bottom w:w="0" w:type="dxa"/>
            <w:right w:w="10" w:type="dxa"/>
          </w:tblCellMar>
        </w:tblPrEx>
        <w:trPr>
          <w:trHeight w:val="567" w:hRule="atLeast"/>
        </w:trPr>
        <w:tc>
          <w:tcPr>
            <w:tcW w:w="8811"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topLinePunct w:val="0"/>
              <w:bidi w:val="0"/>
              <w:spacing w:line="550" w:lineRule="exact"/>
              <w:jc w:val="center"/>
              <w:textAlignment w:val="auto"/>
              <w:rPr>
                <w:szCs w:val="22"/>
                <w:lang w:bidi="zh-CN"/>
              </w:rPr>
            </w:pPr>
            <w:r>
              <w:rPr>
                <w:rFonts w:hint="eastAsia" w:eastAsia="黑体"/>
                <w:sz w:val="28"/>
                <w:szCs w:val="28"/>
              </w:rPr>
              <w:t>专栏</w:t>
            </w:r>
            <w:r>
              <w:rPr>
                <w:rFonts w:hint="eastAsia" w:eastAsia="黑体"/>
                <w:sz w:val="28"/>
                <w:szCs w:val="28"/>
                <w:lang w:val="en-US" w:eastAsia="zh-CN"/>
              </w:rPr>
              <w:t xml:space="preserve">9   </w:t>
            </w:r>
            <w:r>
              <w:rPr>
                <w:rFonts w:hint="eastAsia" w:eastAsia="黑体"/>
                <w:sz w:val="28"/>
                <w:szCs w:val="28"/>
              </w:rPr>
              <w:t>隐患排查治理</w:t>
            </w:r>
          </w:p>
        </w:tc>
      </w:tr>
      <w:tr>
        <w:tblPrEx>
          <w:tblCellMar>
            <w:top w:w="0" w:type="dxa"/>
            <w:left w:w="10" w:type="dxa"/>
            <w:bottom w:w="0" w:type="dxa"/>
            <w:right w:w="10" w:type="dxa"/>
          </w:tblCellMar>
        </w:tblPrEx>
        <w:tc>
          <w:tcPr>
            <w:tcW w:w="881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1.到2022年，各</w:t>
            </w:r>
            <w:r>
              <w:rPr>
                <w:rFonts w:hint="eastAsia" w:ascii="楷体_GB2312" w:eastAsia="楷体_GB2312"/>
                <w:color w:val="auto"/>
                <w:sz w:val="24"/>
                <w:lang w:eastAsia="zh-CN"/>
              </w:rPr>
              <w:t>乡街（开发区）和</w:t>
            </w:r>
            <w:r>
              <w:rPr>
                <w:rFonts w:hint="eastAsia" w:ascii="楷体_GB2312" w:eastAsia="楷体_GB2312"/>
                <w:color w:val="auto"/>
                <w:sz w:val="24"/>
              </w:rPr>
              <w:t>各类企业建立完善的隐患排查治理“一张网”信息化管理系统；</w:t>
            </w:r>
          </w:p>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2.到2023年，重点监管企业清单编制实现全覆盖，事故隐患目录实现重点行业领域全覆盖；</w:t>
            </w:r>
          </w:p>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3.到2025年，挂账隐患整改合格率达到95%以上，重大隐患整改合格率达到100%；</w:t>
            </w:r>
          </w:p>
          <w:p>
            <w:pPr>
              <w:spacing w:line="300" w:lineRule="auto"/>
              <w:ind w:firstLine="480" w:firstLineChars="200"/>
              <w:rPr>
                <w:sz w:val="24"/>
              </w:rPr>
            </w:pPr>
            <w:r>
              <w:rPr>
                <w:rFonts w:hint="eastAsia" w:ascii="楷体_GB2312" w:eastAsia="楷体_GB2312"/>
                <w:color w:val="auto"/>
                <w:sz w:val="24"/>
              </w:rPr>
              <w:t>4.到2025年，重点监管企业隐患排查治理信息系统应用覆盖率达到100%，系统平均使用率达到90%。</w:t>
            </w:r>
          </w:p>
        </w:tc>
      </w:tr>
    </w:tbl>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color w:val="auto"/>
        </w:rPr>
      </w:pPr>
      <w:bookmarkStart w:id="37" w:name="_Toc78467536"/>
      <w:bookmarkStart w:id="38" w:name="_Toc40947954"/>
      <w:r>
        <w:rPr>
          <w:rFonts w:hint="eastAsia"/>
          <w:color w:val="auto"/>
        </w:rPr>
        <w:t>5.加强“碳达峰碳中和”和常态化疫情防控下安全生产</w:t>
      </w:r>
    </w:p>
    <w:p>
      <w:pPr>
        <w:pageBreakBefore w:val="0"/>
        <w:widowControl w:val="0"/>
        <w:kinsoku/>
        <w:wordWrap/>
        <w:overflowPunct/>
        <w:topLinePunct w:val="0"/>
        <w:autoSpaceDE/>
        <w:autoSpaceDN/>
        <w:bidi w:val="0"/>
        <w:adjustRightInd/>
        <w:snapToGrid/>
        <w:spacing w:line="560" w:lineRule="exact"/>
        <w:ind w:left="0" w:leftChars="0" w:firstLine="600" w:firstLineChars="200"/>
        <w:jc w:val="both"/>
        <w:textAlignment w:val="auto"/>
        <w:rPr>
          <w:rFonts w:hint="eastAsia"/>
          <w:color w:val="auto"/>
          <w:sz w:val="32"/>
          <w:szCs w:val="32"/>
        </w:rPr>
      </w:pPr>
      <w:r>
        <w:rPr>
          <w:rFonts w:hint="eastAsia"/>
        </w:rPr>
        <w:t xml:space="preserve"> </w:t>
      </w:r>
      <w:r>
        <w:rPr>
          <w:rFonts w:hint="eastAsia"/>
          <w:color w:val="auto"/>
          <w:sz w:val="32"/>
          <w:szCs w:val="32"/>
        </w:rPr>
        <w:t>建立线上与线下、执法与服务相结合的差异化服务指导和监管执法模式，实施分区分类、一企一策，督促企业落实安全生产主体责任、重要岗位和关键环节落实人防、物防、技防措施。建立疫情场所、疫情防控物资生产企业全覆盖安全服务和安全检查机制，完善建筑结构安全、消防安全以及生产、储存、运输等安全管理制度。健全疫情防控条件下企业安全生产风险隐患排查制度，创新线上指导、视频培训、专家连线等服务模式，精准指导企业有效辨识生产工艺、设备设施、作业环境等方面存在的安全风险。充分研究“碳达峰碳中和”背景下企业安全生产特点和规律，制定完善安全管控措施。完善企业复工复产安全防范保障机制，强化视频调度、视频监控等数字监管方式运用，严防企业超能力、超负荷、超范围生产和建设项目抢工期、抢进度</w:t>
      </w:r>
      <w:r>
        <w:rPr>
          <w:rFonts w:hint="eastAsia"/>
          <w:color w:val="auto"/>
          <w:sz w:val="32"/>
          <w:szCs w:val="32"/>
          <w:lang w:eastAsia="zh-CN"/>
        </w:rPr>
        <w:t>等问题出现</w:t>
      </w:r>
      <w:r>
        <w:rPr>
          <w:rFonts w:hint="eastAsia"/>
          <w:color w:val="auto"/>
          <w:sz w:val="32"/>
          <w:szCs w:val="32"/>
        </w:rPr>
        <w:t>。</w:t>
      </w:r>
    </w:p>
    <w:bookmarkEnd w:id="37"/>
    <w:bookmarkEnd w:id="38"/>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楷体_GB2312" w:cs="Times New Roman"/>
          <w:b w:val="0"/>
          <w:bCs w:val="0"/>
          <w:color w:val="auto"/>
          <w:kern w:val="2"/>
          <w:sz w:val="32"/>
        </w:rPr>
      </w:pPr>
      <w:r>
        <w:rPr>
          <w:rFonts w:hint="eastAsia" w:ascii="Times New Roman" w:hAnsi="Times New Roman" w:eastAsia="楷体_GB2312" w:cs="Times New Roman"/>
          <w:b w:val="0"/>
          <w:bCs w:val="0"/>
          <w:color w:val="auto"/>
          <w:kern w:val="2"/>
          <w:sz w:val="32"/>
        </w:rPr>
        <w:t>（四）</w:t>
      </w:r>
      <w:bookmarkEnd w:id="33"/>
      <w:r>
        <w:rPr>
          <w:rFonts w:hint="eastAsia" w:ascii="Times New Roman" w:hAnsi="Times New Roman" w:eastAsia="楷体_GB2312" w:cs="Times New Roman"/>
          <w:b w:val="0"/>
          <w:bCs w:val="0"/>
          <w:color w:val="auto"/>
          <w:kern w:val="2"/>
          <w:sz w:val="32"/>
        </w:rPr>
        <w:t>完善</w:t>
      </w:r>
      <w:r>
        <w:rPr>
          <w:rFonts w:ascii="Times New Roman" w:hAnsi="Times New Roman" w:eastAsia="楷体_GB2312" w:cs="Times New Roman"/>
          <w:b w:val="0"/>
          <w:bCs w:val="0"/>
          <w:color w:val="auto"/>
          <w:kern w:val="2"/>
          <w:sz w:val="32"/>
        </w:rPr>
        <w:t>安全</w:t>
      </w:r>
      <w:r>
        <w:rPr>
          <w:rFonts w:hint="eastAsia" w:ascii="Times New Roman" w:hAnsi="Times New Roman" w:eastAsia="楷体_GB2312" w:cs="Times New Roman"/>
          <w:b w:val="0"/>
          <w:bCs w:val="0"/>
          <w:color w:val="auto"/>
          <w:kern w:val="2"/>
          <w:sz w:val="32"/>
        </w:rPr>
        <w:t>监管</w:t>
      </w:r>
      <w:r>
        <w:rPr>
          <w:rFonts w:ascii="Times New Roman" w:hAnsi="Times New Roman" w:eastAsia="楷体_GB2312" w:cs="Times New Roman"/>
          <w:b w:val="0"/>
          <w:bCs w:val="0"/>
          <w:color w:val="auto"/>
          <w:kern w:val="2"/>
          <w:sz w:val="32"/>
        </w:rPr>
        <w:t>执法</w:t>
      </w:r>
      <w:r>
        <w:rPr>
          <w:rFonts w:hint="eastAsia" w:ascii="Times New Roman" w:hAnsi="Times New Roman" w:eastAsia="楷体_GB2312" w:cs="Times New Roman"/>
          <w:b w:val="0"/>
          <w:bCs w:val="0"/>
          <w:color w:val="auto"/>
          <w:kern w:val="2"/>
          <w:sz w:val="32"/>
        </w:rPr>
        <w:t>体系</w:t>
      </w:r>
      <w:bookmarkEnd w:id="34"/>
    </w:p>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color w:val="auto"/>
        </w:rPr>
      </w:pPr>
      <w:r>
        <w:rPr>
          <w:color w:val="auto"/>
        </w:rPr>
        <w:t>1</w:t>
      </w:r>
      <w:r>
        <w:rPr>
          <w:rFonts w:hint="eastAsia"/>
          <w:color w:val="auto"/>
        </w:rPr>
        <w:t>.贯彻落实</w:t>
      </w:r>
      <w:r>
        <w:rPr>
          <w:color w:val="auto"/>
        </w:rPr>
        <w:t>法规标准</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严格贯彻执行《</w:t>
      </w:r>
      <w:r>
        <w:rPr>
          <w:color w:val="auto"/>
          <w:sz w:val="32"/>
          <w:szCs w:val="32"/>
        </w:rPr>
        <w:t>中华人民共和国</w:t>
      </w:r>
      <w:r>
        <w:rPr>
          <w:rFonts w:hint="eastAsia"/>
          <w:color w:val="auto"/>
          <w:sz w:val="32"/>
          <w:szCs w:val="32"/>
        </w:rPr>
        <w:t>安全生产法》《</w:t>
      </w:r>
      <w:r>
        <w:rPr>
          <w:color w:val="auto"/>
          <w:sz w:val="32"/>
          <w:szCs w:val="32"/>
        </w:rPr>
        <w:t>中华人民共和国</w:t>
      </w:r>
      <w:r>
        <w:rPr>
          <w:rFonts w:hint="eastAsia"/>
          <w:color w:val="auto"/>
          <w:sz w:val="32"/>
          <w:szCs w:val="32"/>
        </w:rPr>
        <w:t>消防法》《江苏省安全生产条例》《江苏省消防条例》等安全生产法律法规，结合我</w:t>
      </w:r>
      <w:r>
        <w:rPr>
          <w:rFonts w:hint="eastAsia"/>
          <w:color w:val="auto"/>
          <w:sz w:val="32"/>
          <w:szCs w:val="32"/>
          <w:lang w:eastAsia="zh-CN"/>
        </w:rPr>
        <w:t>区</w:t>
      </w:r>
      <w:r>
        <w:rPr>
          <w:rFonts w:hint="eastAsia"/>
          <w:color w:val="auto"/>
          <w:sz w:val="32"/>
          <w:szCs w:val="32"/>
        </w:rPr>
        <w:t>安全生产改革发展实践，加强安全生产法规规章建设，建立</w:t>
      </w:r>
      <w:r>
        <w:rPr>
          <w:color w:val="auto"/>
          <w:sz w:val="32"/>
          <w:szCs w:val="32"/>
        </w:rPr>
        <w:t>健全</w:t>
      </w:r>
      <w:r>
        <w:rPr>
          <w:rFonts w:hint="eastAsia"/>
          <w:color w:val="auto"/>
          <w:sz w:val="32"/>
          <w:szCs w:val="32"/>
        </w:rPr>
        <w:t>法规规章实施情况评估制度。</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严格贯彻执行安全生产领域强制性国家、行业标准，引导执行相关推荐性标准，配合省级</w:t>
      </w:r>
      <w:r>
        <w:rPr>
          <w:rFonts w:hint="eastAsia"/>
          <w:color w:val="auto"/>
          <w:sz w:val="32"/>
          <w:szCs w:val="32"/>
          <w:lang w:eastAsia="zh-CN"/>
        </w:rPr>
        <w:t>、市级</w:t>
      </w:r>
      <w:r>
        <w:rPr>
          <w:color w:val="auto"/>
          <w:sz w:val="32"/>
          <w:szCs w:val="32"/>
        </w:rPr>
        <w:t>有关部门</w:t>
      </w:r>
      <w:r>
        <w:rPr>
          <w:rFonts w:hint="eastAsia"/>
          <w:color w:val="auto"/>
          <w:sz w:val="32"/>
          <w:szCs w:val="32"/>
        </w:rPr>
        <w:t>制定和</w:t>
      </w:r>
      <w:r>
        <w:rPr>
          <w:color w:val="auto"/>
          <w:sz w:val="32"/>
          <w:szCs w:val="32"/>
        </w:rPr>
        <w:t>完善</w:t>
      </w:r>
      <w:r>
        <w:rPr>
          <w:rFonts w:hint="eastAsia"/>
          <w:color w:val="auto"/>
          <w:sz w:val="32"/>
          <w:szCs w:val="32"/>
        </w:rPr>
        <w:t>城镇</w:t>
      </w:r>
      <w:r>
        <w:rPr>
          <w:color w:val="auto"/>
          <w:sz w:val="32"/>
          <w:szCs w:val="32"/>
        </w:rPr>
        <w:t>燃气、危险化学品运输</w:t>
      </w:r>
      <w:r>
        <w:rPr>
          <w:rFonts w:hint="eastAsia"/>
          <w:color w:val="auto"/>
          <w:sz w:val="32"/>
          <w:szCs w:val="32"/>
        </w:rPr>
        <w:t>等相关标准规范，切实达到</w:t>
      </w:r>
      <w:r>
        <w:rPr>
          <w:color w:val="auto"/>
          <w:sz w:val="32"/>
          <w:szCs w:val="32"/>
        </w:rPr>
        <w:t>“</w:t>
      </w:r>
      <w:r>
        <w:rPr>
          <w:rFonts w:hint="eastAsia"/>
          <w:color w:val="auto"/>
          <w:sz w:val="32"/>
          <w:szCs w:val="32"/>
        </w:rPr>
        <w:t>建有</w:t>
      </w:r>
      <w:r>
        <w:rPr>
          <w:color w:val="auto"/>
          <w:sz w:val="32"/>
          <w:szCs w:val="32"/>
        </w:rPr>
        <w:t>标准，管有规范”</w:t>
      </w:r>
      <w:r>
        <w:rPr>
          <w:rFonts w:hint="eastAsia"/>
          <w:color w:val="auto"/>
          <w:sz w:val="32"/>
          <w:szCs w:val="32"/>
        </w:rPr>
        <w:t>要求。强化标准规范</w:t>
      </w:r>
      <w:r>
        <w:rPr>
          <w:color w:val="auto"/>
          <w:sz w:val="32"/>
          <w:szCs w:val="32"/>
        </w:rPr>
        <w:t>的</w:t>
      </w:r>
      <w:r>
        <w:rPr>
          <w:rFonts w:hint="eastAsia"/>
          <w:color w:val="auto"/>
          <w:sz w:val="32"/>
          <w:szCs w:val="32"/>
        </w:rPr>
        <w:t>宣传培训、贯彻</w:t>
      </w:r>
      <w:r>
        <w:rPr>
          <w:color w:val="auto"/>
          <w:sz w:val="32"/>
          <w:szCs w:val="32"/>
        </w:rPr>
        <w:t>执行和</w:t>
      </w:r>
      <w:r>
        <w:rPr>
          <w:rFonts w:hint="eastAsia"/>
          <w:color w:val="auto"/>
          <w:sz w:val="32"/>
          <w:szCs w:val="32"/>
        </w:rPr>
        <w:t>跟踪评价，形成安全生产“排查有标可量、执法有标可依、救援有标可循”的全方位工作格局。</w:t>
      </w:r>
    </w:p>
    <w:p>
      <w:pPr>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b/>
          <w:bCs/>
          <w:color w:val="auto"/>
          <w:sz w:val="32"/>
          <w:szCs w:val="32"/>
        </w:rPr>
      </w:pPr>
      <w:r>
        <w:rPr>
          <w:rFonts w:hint="eastAsia"/>
          <w:b/>
          <w:bCs/>
          <w:color w:val="auto"/>
          <w:sz w:val="32"/>
          <w:szCs w:val="32"/>
        </w:rPr>
        <w:t>2.创新</w:t>
      </w:r>
      <w:r>
        <w:rPr>
          <w:b/>
          <w:bCs/>
          <w:color w:val="auto"/>
          <w:sz w:val="32"/>
          <w:szCs w:val="32"/>
        </w:rPr>
        <w:t>监管执法机制</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全面推行“互联网</w:t>
      </w:r>
      <w:r>
        <w:rPr>
          <w:color w:val="auto"/>
          <w:sz w:val="32"/>
          <w:szCs w:val="32"/>
        </w:rPr>
        <w:t>+监管”</w:t>
      </w:r>
      <w:r>
        <w:rPr>
          <w:rFonts w:hint="eastAsia"/>
          <w:color w:val="auto"/>
          <w:sz w:val="32"/>
          <w:szCs w:val="32"/>
        </w:rPr>
        <w:t>和“大数据</w:t>
      </w:r>
      <w:r>
        <w:rPr>
          <w:color w:val="auto"/>
          <w:sz w:val="32"/>
          <w:szCs w:val="32"/>
        </w:rPr>
        <w:t>+网格化+铁脚板”</w:t>
      </w:r>
      <w:r>
        <w:rPr>
          <w:rFonts w:hint="eastAsia"/>
          <w:color w:val="auto"/>
          <w:sz w:val="32"/>
          <w:szCs w:val="32"/>
        </w:rPr>
        <w:t>治理</w:t>
      </w:r>
      <w:r>
        <w:rPr>
          <w:color w:val="auto"/>
          <w:sz w:val="32"/>
          <w:szCs w:val="32"/>
        </w:rPr>
        <w:t>模式，创新信用监管、大数据监管等方式，完善</w:t>
      </w:r>
      <w:r>
        <w:rPr>
          <w:rFonts w:hint="eastAsia"/>
          <w:color w:val="auto"/>
          <w:sz w:val="32"/>
          <w:szCs w:val="32"/>
          <w:lang w:eastAsia="zh-CN"/>
        </w:rPr>
        <w:t>乡街</w:t>
      </w:r>
      <w:r>
        <w:rPr>
          <w:color w:val="auto"/>
          <w:sz w:val="32"/>
          <w:szCs w:val="32"/>
        </w:rPr>
        <w:t>和</w:t>
      </w:r>
      <w:r>
        <w:rPr>
          <w:rFonts w:hint="eastAsia"/>
          <w:color w:val="auto"/>
          <w:sz w:val="32"/>
          <w:szCs w:val="32"/>
        </w:rPr>
        <w:t>功能板块</w:t>
      </w:r>
      <w:r>
        <w:rPr>
          <w:color w:val="auto"/>
          <w:sz w:val="32"/>
          <w:szCs w:val="32"/>
        </w:rPr>
        <w:t>安全生产监管机制</w:t>
      </w:r>
      <w:r>
        <w:rPr>
          <w:rFonts w:hint="eastAsia"/>
          <w:color w:val="auto"/>
          <w:sz w:val="32"/>
          <w:szCs w:val="32"/>
        </w:rPr>
        <w:t>，</w:t>
      </w:r>
      <w:r>
        <w:rPr>
          <w:color w:val="auto"/>
          <w:sz w:val="32"/>
          <w:szCs w:val="32"/>
        </w:rPr>
        <w:t>强化对高风险企业的监督检查，有效开展非现场监管监察，提升安全生产监管效能。推行安全生产监管“执法+专家”模式，建立聘用化工专家帮扶制度</w:t>
      </w:r>
      <w:r>
        <w:rPr>
          <w:rFonts w:hint="eastAsia"/>
          <w:color w:val="auto"/>
          <w:sz w:val="32"/>
          <w:szCs w:val="32"/>
        </w:rPr>
        <w:t>，组织专家组开展远程“会诊”与上门服务相结合的精准指导服务。健全内部、层级和外部执法监督机制，完善安全生产政府法律顾问、执法行为审议制度及重大行政执法决策机制。建立政府购买服务和实施第三方协助检查机制，推行执法效果评估制度。建立安全</w:t>
      </w:r>
      <w:r>
        <w:rPr>
          <w:color w:val="auto"/>
          <w:sz w:val="32"/>
          <w:szCs w:val="32"/>
        </w:rPr>
        <w:t>生产执法与</w:t>
      </w:r>
      <w:r>
        <w:rPr>
          <w:rFonts w:hint="eastAsia"/>
          <w:color w:val="auto"/>
          <w:sz w:val="32"/>
          <w:szCs w:val="32"/>
          <w:lang w:eastAsia="zh-CN"/>
        </w:rPr>
        <w:t>区</w:t>
      </w:r>
      <w:r>
        <w:rPr>
          <w:rFonts w:hint="eastAsia"/>
          <w:color w:val="auto"/>
          <w:sz w:val="32"/>
          <w:szCs w:val="32"/>
        </w:rPr>
        <w:t>有关部门行政执法</w:t>
      </w:r>
      <w:r>
        <w:rPr>
          <w:color w:val="auto"/>
          <w:sz w:val="32"/>
          <w:szCs w:val="32"/>
        </w:rPr>
        <w:t>联合执法机制，加强信息共享，形成执法合力。</w:t>
      </w:r>
    </w:p>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color w:val="auto"/>
        </w:rPr>
      </w:pPr>
      <w:r>
        <w:rPr>
          <w:color w:val="auto"/>
        </w:rPr>
        <w:t>3</w:t>
      </w:r>
      <w:r>
        <w:rPr>
          <w:rFonts w:hint="eastAsia"/>
          <w:color w:val="auto"/>
        </w:rPr>
        <w:t>.</w:t>
      </w:r>
      <w:r>
        <w:rPr>
          <w:color w:val="auto"/>
        </w:rPr>
        <w:t>规范监管执法行为</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制定安全</w:t>
      </w:r>
      <w:r>
        <w:rPr>
          <w:color w:val="auto"/>
          <w:sz w:val="32"/>
          <w:szCs w:val="32"/>
        </w:rPr>
        <w:t>生产</w:t>
      </w:r>
      <w:r>
        <w:rPr>
          <w:rFonts w:hint="eastAsia"/>
          <w:color w:val="auto"/>
          <w:sz w:val="32"/>
          <w:szCs w:val="32"/>
        </w:rPr>
        <w:t>年度执法计划，突出重点行业领域和重点地区，对重点企业按固定周期开展“全覆盖”执法检查，对其他企业实行“双随机，一公开”执法抽查。在工贸等重点领域实行“执法告知、现场检查、交流反馈”、“企业主要负责人、安全管理人员、岗位操作员工全过程在场”和“执法</w:t>
      </w:r>
      <w:r>
        <w:rPr>
          <w:color w:val="auto"/>
          <w:sz w:val="32"/>
          <w:szCs w:val="32"/>
        </w:rPr>
        <w:t>+专家”</w:t>
      </w:r>
      <w:r>
        <w:rPr>
          <w:rFonts w:hint="eastAsia"/>
          <w:color w:val="auto"/>
          <w:sz w:val="32"/>
          <w:szCs w:val="32"/>
        </w:rPr>
        <w:t>工作模式，开展</w:t>
      </w:r>
      <w:r>
        <w:rPr>
          <w:color w:val="auto"/>
          <w:sz w:val="32"/>
          <w:szCs w:val="32"/>
        </w:rPr>
        <w:t>“说理式”执法，增强企业自我防范风险意识和主动消除违法违规行为的自觉性。</w:t>
      </w:r>
      <w:r>
        <w:rPr>
          <w:rFonts w:hint="eastAsia"/>
          <w:color w:val="auto"/>
          <w:sz w:val="32"/>
          <w:szCs w:val="32"/>
        </w:rPr>
        <w:t xml:space="preserve">全面实行执法事项清单制度，统一行政执法事项目录，完善安全生产行政处罚自由裁量标准，开展分类分级执法，明确层级职责，实施差异化、针对性的精准监管执法。全面落实行政执法公示、执法全过程记录、重大执法决定法制审核制度，组织开展“三项制度”落实情况自查评估工作。健全安全监管执法机构与公安、检察机关安全生产案情通报、证据互认、证据转换、法律适用、检验认定与处置等协调协作机制，规范移送程序和移送标准。严格落实刑法修正案（十一），加大对事故前严重违法行为的刑事责任追究力度。 </w:t>
      </w:r>
    </w:p>
    <w:p>
      <w:pPr>
        <w:pStyle w:val="5"/>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color w:val="auto"/>
        </w:rPr>
      </w:pPr>
      <w:r>
        <w:rPr>
          <w:rFonts w:hint="eastAsia" w:ascii="Times New Roman" w:hAnsi="Times New Roman" w:cs="Times New Roman"/>
          <w:color w:val="auto"/>
        </w:rPr>
        <w:t>4</w:t>
      </w:r>
      <w:r>
        <w:rPr>
          <w:rFonts w:hint="eastAsia"/>
          <w:color w:val="auto"/>
        </w:rPr>
        <w:t>.</w:t>
      </w:r>
      <w:r>
        <w:rPr>
          <w:rFonts w:hint="eastAsia" w:ascii="Times New Roman" w:hAnsi="Times New Roman" w:cs="Times New Roman"/>
          <w:color w:val="auto"/>
        </w:rPr>
        <w:t>强化执法</w:t>
      </w:r>
      <w:r>
        <w:rPr>
          <w:rFonts w:ascii="Times New Roman" w:hAnsi="Times New Roman" w:cs="Times New Roman"/>
          <w:color w:val="auto"/>
        </w:rPr>
        <w:t>能力建设</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auto"/>
          <w:sz w:val="32"/>
          <w:szCs w:val="32"/>
        </w:rPr>
      </w:pPr>
      <w:r>
        <w:rPr>
          <w:rFonts w:hint="eastAsia"/>
          <w:color w:val="auto"/>
          <w:sz w:val="32"/>
          <w:szCs w:val="32"/>
        </w:rPr>
        <w:t>推动安全生产执法力量向基层延伸，厘清负有安全生产监管职责部门的现场检查、行政处罚等权限，增强监管执法合力。建立以检查为统领，集风险防范、行政处罚、案件移送于一体的工作体系。组建</w:t>
      </w:r>
      <w:r>
        <w:rPr>
          <w:rFonts w:hint="eastAsia"/>
          <w:color w:val="auto"/>
          <w:sz w:val="32"/>
          <w:szCs w:val="32"/>
          <w:lang w:eastAsia="zh-CN"/>
        </w:rPr>
        <w:t>区街</w:t>
      </w:r>
      <w:r>
        <w:rPr>
          <w:rFonts w:hint="eastAsia"/>
          <w:color w:val="auto"/>
          <w:sz w:val="32"/>
          <w:szCs w:val="32"/>
        </w:rPr>
        <w:t>两级应急管理综合行政执法队伍，持续推进“三位一体”执法体系建设，进一步提升执法队伍规范化、标准化水平。建立执法人员入职培训、定期轮训和考核制度，入职培训不少</w:t>
      </w:r>
      <w:r>
        <w:rPr>
          <w:rFonts w:hint="eastAsia" w:ascii="Times New Roman" w:hAnsi="Times New Roman" w:eastAsia="仿宋_GB2312" w:cs="宋体"/>
          <w:color w:val="000000"/>
          <w:sz w:val="32"/>
          <w:szCs w:val="32"/>
          <w:lang w:val="en-US" w:eastAsia="zh-CN" w:bidi="ar-SA"/>
        </w:rPr>
        <w:t>于3个</w:t>
      </w:r>
      <w:r>
        <w:rPr>
          <w:color w:val="auto"/>
          <w:sz w:val="32"/>
          <w:szCs w:val="32"/>
        </w:rPr>
        <w:t>月，每年参加不少于2周的复训。</w:t>
      </w:r>
      <w:r>
        <w:rPr>
          <w:rFonts w:hint="eastAsia"/>
          <w:color w:val="auto"/>
          <w:sz w:val="32"/>
          <w:szCs w:val="32"/>
        </w:rPr>
        <w:t xml:space="preserve">制定和落实安全生产行政执法队伍建设规划和标准导则，配齐现场监督检测、信息化、调查取证分析、专业执法及个人安全防护等装备，保障执法用车，改善执法工作条件。 </w:t>
      </w:r>
    </w:p>
    <w:tbl>
      <w:tblPr>
        <w:tblStyle w:val="17"/>
        <w:tblW w:w="8316" w:type="dxa"/>
        <w:tblInd w:w="112" w:type="dxa"/>
        <w:tblLayout w:type="fixed"/>
        <w:tblCellMar>
          <w:top w:w="0" w:type="dxa"/>
          <w:left w:w="10" w:type="dxa"/>
          <w:bottom w:w="0" w:type="dxa"/>
          <w:right w:w="10" w:type="dxa"/>
        </w:tblCellMar>
      </w:tblPr>
      <w:tblGrid>
        <w:gridCol w:w="8316"/>
      </w:tblGrid>
      <w:tr>
        <w:tblPrEx>
          <w:tblCellMar>
            <w:top w:w="0" w:type="dxa"/>
            <w:left w:w="10" w:type="dxa"/>
            <w:bottom w:w="0" w:type="dxa"/>
            <w:right w:w="10" w:type="dxa"/>
          </w:tblCellMar>
        </w:tblPrEx>
        <w:trPr>
          <w:trHeight w:val="567" w:hRule="atLeast"/>
        </w:trPr>
        <w:tc>
          <w:tcPr>
            <w:tcW w:w="8316"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overflowPunct w:val="0"/>
              <w:jc w:val="center"/>
              <w:rPr>
                <w:szCs w:val="22"/>
                <w:lang w:bidi="zh-CN"/>
              </w:rPr>
            </w:pPr>
            <w:bookmarkStart w:id="39" w:name="_Toc78467535"/>
            <w:r>
              <w:rPr>
                <w:rFonts w:hint="eastAsia" w:eastAsia="黑体"/>
                <w:sz w:val="28"/>
                <w:szCs w:val="28"/>
              </w:rPr>
              <w:t>专栏1</w:t>
            </w:r>
            <w:r>
              <w:rPr>
                <w:rFonts w:hint="eastAsia" w:eastAsia="黑体"/>
                <w:sz w:val="28"/>
                <w:szCs w:val="28"/>
                <w:lang w:val="en-US" w:eastAsia="zh-CN"/>
              </w:rPr>
              <w:t xml:space="preserve">0  </w:t>
            </w:r>
            <w:r>
              <w:rPr>
                <w:rFonts w:hint="eastAsia" w:eastAsia="黑体"/>
                <w:sz w:val="28"/>
                <w:szCs w:val="28"/>
              </w:rPr>
              <w:t>安全监管执法队伍</w:t>
            </w:r>
          </w:p>
        </w:tc>
      </w:tr>
      <w:tr>
        <w:tblPrEx>
          <w:tblCellMar>
            <w:top w:w="0" w:type="dxa"/>
            <w:left w:w="10" w:type="dxa"/>
            <w:bottom w:w="0" w:type="dxa"/>
            <w:right w:w="10" w:type="dxa"/>
          </w:tblCellMar>
        </w:tblPrEx>
        <w:tc>
          <w:tcPr>
            <w:tcW w:w="83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numPr>
                <w:ilvl w:val="0"/>
                <w:numId w:val="0"/>
              </w:numPr>
              <w:spacing w:line="300" w:lineRule="auto"/>
              <w:ind w:firstLine="480" w:firstLineChars="200"/>
              <w:rPr>
                <w:rFonts w:ascii="楷体_GB2312" w:eastAsia="楷体_GB2312"/>
                <w:sz w:val="24"/>
              </w:rPr>
            </w:pPr>
            <w:r>
              <w:rPr>
                <w:rFonts w:hint="eastAsia" w:ascii="楷体_GB2312" w:eastAsia="楷体_GB2312"/>
                <w:color w:val="auto"/>
                <w:sz w:val="24"/>
              </w:rPr>
              <w:t>到2025年，具有安全生产相关专业学历</w:t>
            </w:r>
            <w:r>
              <w:rPr>
                <w:rFonts w:hint="eastAsia" w:ascii="楷体_GB2312" w:eastAsia="楷体_GB2312"/>
                <w:color w:val="auto"/>
                <w:sz w:val="24"/>
                <w:lang w:eastAsia="zh-CN"/>
              </w:rPr>
              <w:t>或</w:t>
            </w:r>
            <w:r>
              <w:rPr>
                <w:rFonts w:hint="eastAsia" w:ascii="楷体_GB2312" w:eastAsia="楷体_GB2312"/>
                <w:color w:val="auto"/>
                <w:sz w:val="24"/>
              </w:rPr>
              <w:t>实践经验的执法人员</w:t>
            </w:r>
            <w:r>
              <w:rPr>
                <w:rFonts w:hint="eastAsia" w:ascii="楷体_GB2312" w:eastAsia="楷体_GB2312"/>
                <w:color w:val="auto"/>
                <w:sz w:val="24"/>
                <w:lang w:eastAsia="zh-CN"/>
              </w:rPr>
              <w:t>达到</w:t>
            </w:r>
            <w:r>
              <w:rPr>
                <w:rFonts w:hint="eastAsia" w:ascii="楷体_GB2312" w:eastAsia="楷体_GB2312"/>
                <w:color w:val="auto"/>
                <w:sz w:val="24"/>
              </w:rPr>
              <w:t>在职人员的</w:t>
            </w:r>
            <w:r>
              <w:rPr>
                <w:rFonts w:ascii="楷体_GB2312" w:eastAsia="楷体_GB2312"/>
                <w:color w:val="auto"/>
                <w:sz w:val="24"/>
              </w:rPr>
              <w:t>75%</w:t>
            </w:r>
            <w:r>
              <w:rPr>
                <w:rFonts w:hint="eastAsia" w:ascii="楷体_GB2312" w:eastAsia="楷体_GB2312"/>
                <w:sz w:val="24"/>
              </w:rPr>
              <w:t>。</w:t>
            </w:r>
          </w:p>
        </w:tc>
      </w:tr>
      <w:bookmarkEnd w:id="39"/>
    </w:tbl>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40" w:name="_Toc4278"/>
      <w:bookmarkStart w:id="41" w:name="_Toc78467537"/>
      <w:r>
        <w:rPr>
          <w:rFonts w:hint="eastAsia" w:ascii="Times New Roman" w:hAnsi="Times New Roman" w:cs="Times New Roman"/>
          <w:b w:val="0"/>
          <w:bCs w:val="0"/>
          <w:color w:val="auto"/>
          <w:kern w:val="2"/>
          <w:szCs w:val="30"/>
        </w:rPr>
        <w:t>（五）提升应急</w:t>
      </w:r>
      <w:r>
        <w:rPr>
          <w:rFonts w:ascii="Times New Roman" w:hAnsi="Times New Roman" w:cs="Times New Roman"/>
          <w:b w:val="0"/>
          <w:bCs w:val="0"/>
          <w:color w:val="auto"/>
          <w:kern w:val="2"/>
          <w:szCs w:val="30"/>
        </w:rPr>
        <w:t>救援能力</w:t>
      </w:r>
      <w:bookmarkEnd w:id="40"/>
      <w:bookmarkEnd w:id="41"/>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color w:val="auto"/>
        </w:rPr>
        <w:t>1</w:t>
      </w:r>
      <w:r>
        <w:rPr>
          <w:rFonts w:hint="eastAsia"/>
          <w:color w:val="auto"/>
        </w:rPr>
        <w:t>.健全完善</w:t>
      </w:r>
      <w:r>
        <w:rPr>
          <w:color w:val="auto"/>
        </w:rPr>
        <w:t>应急预案体系</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加强应急预案的顶层设计，实现安全生产应急预案精细化、标准化、系统化、专项化响应。健全完善符合城市安全发展的应急预案体系，实现对主要安全生产风险的全覆盖。加强重大危险源“一对一”事故应急预案编制，强化政企预案衔接与联动。加强企业预案实用性建设，推进企业安全风险分布图、岗位安全风险告知卡、岗位应急处置卡等实施应用。加强重点岗位、重点部位现场应急处置方案实操性监督检查，强化制度化、全员化、多形式的应急救援演练，开展事故救援演练效果评估，及时发现和纠正演练中存在的问题和不足，提升演练效果。</w:t>
      </w:r>
    </w:p>
    <w:p>
      <w:pPr>
        <w:pageBreakBefore w:val="0"/>
        <w:widowControl w:val="0"/>
        <w:kinsoku/>
        <w:wordWrap/>
        <w:overflowPunct/>
        <w:topLinePunct w:val="0"/>
        <w:autoSpaceDE/>
        <w:autoSpaceDN/>
        <w:bidi w:val="0"/>
        <w:spacing w:line="560" w:lineRule="exact"/>
        <w:ind w:left="0" w:leftChars="0" w:firstLine="643" w:firstLineChars="200"/>
        <w:jc w:val="both"/>
        <w:textAlignment w:val="auto"/>
        <w:rPr>
          <w:b/>
          <w:bCs/>
          <w:color w:val="auto"/>
          <w:sz w:val="32"/>
          <w:szCs w:val="32"/>
        </w:rPr>
      </w:pPr>
      <w:r>
        <w:rPr>
          <w:rFonts w:hint="eastAsia"/>
          <w:b/>
          <w:bCs/>
          <w:color w:val="auto"/>
          <w:sz w:val="32"/>
          <w:szCs w:val="32"/>
        </w:rPr>
        <w:t>2.健全联动协同机制</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构建统一指挥、专常兼备、反应迅速、上下联动的生产安全事故应急救援体系，按照“统一领导、分组负责、条块结合、属地为主”的原则，优化</w:t>
      </w:r>
      <w:r>
        <w:rPr>
          <w:rFonts w:hint="eastAsia"/>
          <w:color w:val="auto"/>
          <w:sz w:val="32"/>
          <w:szCs w:val="32"/>
          <w:lang w:eastAsia="zh-CN"/>
        </w:rPr>
        <w:t>区街</w:t>
      </w:r>
      <w:r>
        <w:rPr>
          <w:rFonts w:hint="eastAsia"/>
          <w:color w:val="auto"/>
          <w:sz w:val="32"/>
          <w:szCs w:val="32"/>
        </w:rPr>
        <w:t>级生产安全事故应急联动工作机制，健全完善部门联动和社会协同机制，构建高效快速应急响应机制。加强应急救援信息化建设，共享应急救援信息资源。</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3.加快专业救援</w:t>
      </w:r>
      <w:r>
        <w:rPr>
          <w:color w:val="auto"/>
        </w:rPr>
        <w:t>队伍建设</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根据全</w:t>
      </w:r>
      <w:r>
        <w:rPr>
          <w:rFonts w:hint="eastAsia"/>
          <w:color w:val="auto"/>
          <w:sz w:val="32"/>
          <w:szCs w:val="32"/>
          <w:lang w:eastAsia="zh-CN"/>
        </w:rPr>
        <w:t>区</w:t>
      </w:r>
      <w:r>
        <w:rPr>
          <w:rFonts w:hint="eastAsia"/>
          <w:color w:val="auto"/>
          <w:sz w:val="32"/>
          <w:szCs w:val="32"/>
        </w:rPr>
        <w:t>产业布局、交通状况和安全风险特点，推进</w:t>
      </w:r>
      <w:r>
        <w:rPr>
          <w:rFonts w:hint="eastAsia"/>
          <w:color w:val="auto"/>
          <w:sz w:val="32"/>
          <w:szCs w:val="32"/>
          <w:lang w:eastAsia="zh-CN"/>
        </w:rPr>
        <w:t>区街</w:t>
      </w:r>
      <w:r>
        <w:rPr>
          <w:rFonts w:hint="eastAsia"/>
          <w:color w:val="auto"/>
          <w:sz w:val="32"/>
          <w:szCs w:val="32"/>
        </w:rPr>
        <w:t>应急救援队伍建设，在危险化学品、</w:t>
      </w:r>
      <w:r>
        <w:rPr>
          <w:rFonts w:hint="eastAsia"/>
          <w:color w:val="auto"/>
          <w:sz w:val="32"/>
          <w:szCs w:val="32"/>
          <w:lang w:eastAsia="zh-CN"/>
        </w:rPr>
        <w:t>冶金</w:t>
      </w:r>
      <w:r>
        <w:rPr>
          <w:rFonts w:hint="eastAsia"/>
          <w:color w:val="auto"/>
          <w:sz w:val="32"/>
          <w:szCs w:val="32"/>
        </w:rPr>
        <w:t xml:space="preserve">等重点行业领域选优建强专业应急救援队伍，在重点化工集中区、危险化学品储存量大的港区所在地建设公共应急救援队伍。规范基层安全生产应急救援队伍职能定位、建设规模及装备配备。推动规模以上高危行业领域企业加强专兼职应急救援队伍建设及应急物资装备配备，建立内部监测预警、态势研判及与周边企业、政府的信息通报、资源互助机制。加强队伍技能培训和竞赛，实施以基层为重点的实战化应急演练活动，提升自救互救技能。 </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4.加强救援物资装备建设</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建立健全应急物资储备与调运制度，制定应急物资装备征用补偿政策。加强应急物资实物储备、市场储备和生产能力储备建设。针对化工园区事故特点，加强高精尖救援装备配备，重点配置多功能举高破拆车、大跨度举高喷射车、双臂举高喷射消防车、救援机器人、重型泡沫消防车、化学洗消车、重型干粉消防车等装备。完善救援物资装备管理信息化建设，建立应急物资装备台账，掌握物资</w:t>
      </w:r>
      <w:r>
        <w:rPr>
          <w:color w:val="auto"/>
          <w:sz w:val="32"/>
          <w:szCs w:val="32"/>
        </w:rPr>
        <w:t>装备</w:t>
      </w:r>
      <w:r>
        <w:rPr>
          <w:rFonts w:hint="eastAsia"/>
          <w:color w:val="auto"/>
          <w:sz w:val="32"/>
          <w:szCs w:val="32"/>
        </w:rPr>
        <w:t xml:space="preserve">规格、性能参数等信息，建立资源共享机制，提高资源使用效益。 </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5.提升应急</w:t>
      </w:r>
      <w:r>
        <w:rPr>
          <w:color w:val="auto"/>
        </w:rPr>
        <w:t>救援能力</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畅通事故信息快速报送渠道，健全应急值守机制。建立分级分类事故现场指挥机构组建机制，细化各单位责任分工和工作流程，进一步明晰现场指挥权、行政协调权划分及指挥权交接的方式和程序。健全市场经济下安全生产应急救援社会化运行模式，培育专业化应急救援组织，引导社会应急力量有序参与事故应急救援。推进</w:t>
      </w:r>
      <w:r>
        <w:rPr>
          <w:rFonts w:hint="eastAsia"/>
          <w:color w:val="auto"/>
          <w:sz w:val="32"/>
          <w:szCs w:val="32"/>
          <w:lang w:eastAsia="zh-CN"/>
        </w:rPr>
        <w:t>区</w:t>
      </w:r>
      <w:r>
        <w:rPr>
          <w:rFonts w:hint="eastAsia"/>
          <w:color w:val="auto"/>
          <w:sz w:val="32"/>
          <w:szCs w:val="32"/>
        </w:rPr>
        <w:t>应急指挥平台建设，实现</w:t>
      </w:r>
      <w:r>
        <w:rPr>
          <w:color w:val="auto"/>
          <w:sz w:val="32"/>
          <w:szCs w:val="32"/>
        </w:rPr>
        <w:t>生产</w:t>
      </w:r>
      <w:r>
        <w:rPr>
          <w:rFonts w:hint="eastAsia"/>
          <w:color w:val="auto"/>
          <w:sz w:val="32"/>
          <w:szCs w:val="32"/>
        </w:rPr>
        <w:t>安全</w:t>
      </w:r>
      <w:r>
        <w:rPr>
          <w:color w:val="auto"/>
          <w:sz w:val="32"/>
          <w:szCs w:val="32"/>
        </w:rPr>
        <w:t>事故</w:t>
      </w:r>
      <w:r>
        <w:rPr>
          <w:rFonts w:hint="eastAsia"/>
          <w:color w:val="auto"/>
          <w:sz w:val="32"/>
          <w:szCs w:val="32"/>
        </w:rPr>
        <w:t xml:space="preserve">科学精准高效处置。完善邻近各区之间的跨区域联合救援机制和事故现场救援统一指挥机制，加强与周边地区应急救援设施和队伍的共建共享，规范事故现场救援管理程序，完善现场通信、交通、新闻舆论、救援力量衔接等各项保障措施，实现高效有序协同处置。 </w:t>
      </w:r>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42" w:name="_Toc78467538"/>
      <w:bookmarkStart w:id="43" w:name="_Toc12321"/>
      <w:r>
        <w:rPr>
          <w:rFonts w:hint="eastAsia" w:ascii="Times New Roman" w:hAnsi="Times New Roman" w:cs="Times New Roman"/>
          <w:b w:val="0"/>
          <w:bCs w:val="0"/>
          <w:color w:val="auto"/>
          <w:kern w:val="2"/>
          <w:szCs w:val="30"/>
        </w:rPr>
        <w:t>（六）提升安全生产基层基础监管能力</w:t>
      </w:r>
      <w:bookmarkEnd w:id="42"/>
      <w:bookmarkEnd w:id="43"/>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color w:val="auto"/>
        </w:rPr>
        <w:t>1.</w:t>
      </w:r>
      <w:r>
        <w:rPr>
          <w:rFonts w:hint="eastAsia"/>
          <w:color w:val="auto"/>
        </w:rPr>
        <w:t>加强</w:t>
      </w:r>
      <w:r>
        <w:rPr>
          <w:color w:val="auto"/>
        </w:rPr>
        <w:t>基层安全生产工作</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ascii="仿宋_GB2312" w:eastAsia="仿宋_GB2312"/>
          <w:color w:val="000000"/>
          <w:kern w:val="0"/>
          <w:sz w:val="32"/>
          <w:szCs w:val="32"/>
        </w:rPr>
        <w:t>围绕“五个能力提升”，扎实推进</w:t>
      </w:r>
      <w:r>
        <w:rPr>
          <w:rFonts w:hint="eastAsia" w:ascii="仿宋_GB2312" w:eastAsia="仿宋_GB2312"/>
          <w:color w:val="000000"/>
          <w:kern w:val="0"/>
          <w:sz w:val="32"/>
          <w:szCs w:val="32"/>
          <w:lang w:eastAsia="zh-CN"/>
        </w:rPr>
        <w:t>乡</w:t>
      </w:r>
      <w:r>
        <w:rPr>
          <w:rFonts w:hint="eastAsia" w:ascii="仿宋_GB2312" w:eastAsia="仿宋_GB2312"/>
          <w:color w:val="000000"/>
          <w:kern w:val="0"/>
          <w:sz w:val="32"/>
          <w:szCs w:val="32"/>
        </w:rPr>
        <w:t>街安全生产管控能力提升三年行动</w:t>
      </w:r>
      <w:r>
        <w:rPr>
          <w:rFonts w:hint="eastAsia"/>
          <w:color w:val="000000"/>
          <w:kern w:val="0"/>
          <w:sz w:val="32"/>
          <w:szCs w:val="32"/>
          <w:lang w:eastAsia="zh-CN"/>
        </w:rPr>
        <w:t>。</w:t>
      </w:r>
      <w:r>
        <w:rPr>
          <w:rFonts w:hint="eastAsia"/>
          <w:color w:val="auto"/>
          <w:sz w:val="32"/>
          <w:szCs w:val="32"/>
        </w:rPr>
        <w:t xml:space="preserve">强化基层安全生产服务职能，构建“放管服”改革、政务服务、政务公开、流程优化等全面融合协同服务的工作格局。推动专业监管和执法力量向基层一线倾斜，加大培训指导力度，不断提升一线执法人员安全生产专业监管和执法能力水平。 </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color w:val="auto"/>
        </w:rPr>
        <w:t>2.</w:t>
      </w:r>
      <w:r>
        <w:rPr>
          <w:rFonts w:hint="eastAsia"/>
          <w:color w:val="auto"/>
        </w:rPr>
        <w:t>强化农村</w:t>
      </w:r>
      <w:r>
        <w:rPr>
          <w:color w:val="auto"/>
        </w:rPr>
        <w:t>安全生产</w:t>
      </w:r>
      <w:r>
        <w:rPr>
          <w:rFonts w:hint="eastAsia"/>
          <w:color w:val="auto"/>
        </w:rPr>
        <w:t>监管</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color w:val="auto"/>
          <w:sz w:val="32"/>
          <w:szCs w:val="32"/>
        </w:rPr>
        <w:t>健全农村安全生产责任制，整合农业农村、应急管理、交通运输、住建、水利、旅游等涉农部门安全生产监管职责，明确各职能部门的安全生产责权，按照属地管理原则，健全基层各级政府及其派出机构</w:t>
      </w:r>
      <w:r>
        <w:rPr>
          <w:rFonts w:hint="eastAsia"/>
          <w:color w:val="auto"/>
          <w:sz w:val="32"/>
          <w:szCs w:val="32"/>
        </w:rPr>
        <w:t>安全管理机构并配备与经济社会发展相适应的安全管理人员</w:t>
      </w:r>
      <w:r>
        <w:rPr>
          <w:color w:val="auto"/>
          <w:sz w:val="32"/>
          <w:szCs w:val="32"/>
        </w:rPr>
        <w:t>，将涉农安全生产各项工作纳入乡村振兴战略和平安</w:t>
      </w:r>
      <w:r>
        <w:rPr>
          <w:rFonts w:hint="eastAsia"/>
          <w:color w:val="auto"/>
          <w:sz w:val="32"/>
          <w:szCs w:val="32"/>
          <w:lang w:eastAsia="zh-CN"/>
        </w:rPr>
        <w:t>连云</w:t>
      </w:r>
      <w:r>
        <w:rPr>
          <w:color w:val="auto"/>
          <w:sz w:val="32"/>
          <w:szCs w:val="32"/>
        </w:rPr>
        <w:t>建设，加强村民安全自治</w:t>
      </w:r>
      <w:r>
        <w:rPr>
          <w:rFonts w:hint="eastAsia"/>
          <w:color w:val="auto"/>
          <w:sz w:val="32"/>
          <w:szCs w:val="32"/>
        </w:rPr>
        <w:t>。整合行业领域涉农安全监管资源，将农村的预报员、安全员、信访员、扶贫员等合设为“全科”农村安全员，打造一支有一定技术基础和工作经验的安全生产管理队伍。</w:t>
      </w:r>
      <w:r>
        <w:rPr>
          <w:color w:val="auto"/>
          <w:sz w:val="32"/>
          <w:szCs w:val="32"/>
        </w:rPr>
        <w:t>加大农村安全教育投入力度，实现农村安全生产宣传全覆盖。</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color w:val="auto"/>
        </w:rPr>
        <w:t>3</w:t>
      </w:r>
      <w:r>
        <w:rPr>
          <w:rFonts w:hint="eastAsia"/>
          <w:color w:val="auto"/>
        </w:rPr>
        <w:t>.加大</w:t>
      </w:r>
      <w:r>
        <w:rPr>
          <w:color w:val="auto"/>
        </w:rPr>
        <w:t>安全</w:t>
      </w:r>
      <w:r>
        <w:rPr>
          <w:rFonts w:hint="eastAsia"/>
          <w:color w:val="auto"/>
        </w:rPr>
        <w:t>资金投入</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强化</w:t>
      </w:r>
      <w:r>
        <w:rPr>
          <w:rFonts w:hint="eastAsia"/>
          <w:color w:val="auto"/>
          <w:sz w:val="32"/>
          <w:szCs w:val="32"/>
          <w:lang w:eastAsia="zh-CN"/>
        </w:rPr>
        <w:t>区</w:t>
      </w:r>
      <w:r>
        <w:rPr>
          <w:rFonts w:hint="eastAsia"/>
          <w:color w:val="auto"/>
          <w:sz w:val="32"/>
          <w:szCs w:val="32"/>
        </w:rPr>
        <w:t>政府</w:t>
      </w:r>
      <w:r>
        <w:rPr>
          <w:color w:val="auto"/>
          <w:sz w:val="32"/>
          <w:szCs w:val="32"/>
        </w:rPr>
        <w:t>财政对安全生产工作的经费保障，建立经费保障自然</w:t>
      </w:r>
      <w:r>
        <w:rPr>
          <w:rFonts w:hint="eastAsia"/>
          <w:color w:val="auto"/>
          <w:sz w:val="32"/>
          <w:szCs w:val="32"/>
        </w:rPr>
        <w:t>增长</w:t>
      </w:r>
      <w:r>
        <w:rPr>
          <w:color w:val="auto"/>
          <w:sz w:val="32"/>
          <w:szCs w:val="32"/>
        </w:rPr>
        <w:t>机制，优化支出结构，向重点行业领域风险防控、</w:t>
      </w:r>
      <w:r>
        <w:rPr>
          <w:rFonts w:hint="eastAsia"/>
          <w:color w:val="auto"/>
          <w:sz w:val="32"/>
          <w:szCs w:val="32"/>
        </w:rPr>
        <w:t>隐患排查</w:t>
      </w:r>
      <w:r>
        <w:rPr>
          <w:color w:val="auto"/>
          <w:sz w:val="32"/>
          <w:szCs w:val="32"/>
        </w:rPr>
        <w:t>治理工作倾斜。</w:t>
      </w:r>
      <w:r>
        <w:rPr>
          <w:rFonts w:hint="eastAsia"/>
          <w:color w:val="auto"/>
          <w:sz w:val="32"/>
          <w:szCs w:val="32"/>
        </w:rPr>
        <w:t>健全完善隐患资金使用管理机制，规范专项资金的申报、拨付和使用流程，提高专项资金的使用效率。督促企业加大安全投入，保证安全生产条件所必需的资金投入。严</w:t>
      </w:r>
      <w:r>
        <w:rPr>
          <w:color w:val="auto"/>
          <w:sz w:val="32"/>
          <w:szCs w:val="32"/>
        </w:rPr>
        <w:t>格落实安全技术设备设施改造等支持政策，加大淘汰落后力度，及时更新推广应用先进适用安全生产工艺和技术装备。</w:t>
      </w:r>
      <w:r>
        <w:rPr>
          <w:rFonts w:hint="eastAsia"/>
          <w:color w:val="auto"/>
          <w:sz w:val="32"/>
          <w:szCs w:val="32"/>
        </w:rPr>
        <w:t xml:space="preserve">进一步拓宽安全生产投入渠道，形成以企业投入为主、政府投入引导、金融和保险参与的多元化安全生产投入机制。 </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color w:val="auto"/>
        </w:rPr>
        <w:t>4</w:t>
      </w:r>
      <w:r>
        <w:rPr>
          <w:rFonts w:hint="eastAsia"/>
          <w:color w:val="auto"/>
        </w:rPr>
        <w:t>.推进安全标准化提质增效</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hAnsi="仿宋_GB2312" w:cs="仿宋_GB2312"/>
          <w:color w:val="auto"/>
          <w:sz w:val="32"/>
          <w:szCs w:val="32"/>
        </w:rPr>
        <w:t>坚持目标导向，全力推进安全标准化建设。</w:t>
      </w:r>
      <w:r>
        <w:rPr>
          <w:rFonts w:hint="eastAsia"/>
          <w:color w:val="auto"/>
          <w:sz w:val="32"/>
          <w:szCs w:val="32"/>
        </w:rPr>
        <w:t>坚持标准化建设扩面提质，全</w:t>
      </w:r>
      <w:r>
        <w:rPr>
          <w:rFonts w:hint="eastAsia"/>
          <w:color w:val="auto"/>
          <w:sz w:val="32"/>
          <w:szCs w:val="32"/>
          <w:lang w:eastAsia="zh-CN"/>
        </w:rPr>
        <w:t>区</w:t>
      </w:r>
      <w:r>
        <w:rPr>
          <w:rFonts w:hint="eastAsia"/>
          <w:color w:val="auto"/>
          <w:sz w:val="32"/>
          <w:szCs w:val="32"/>
        </w:rPr>
        <w:t>积极培育安全标准化一级企业，推动二级标准化企业抓提升、三级标准化企业抓改进、中小微企业抓达标，实现提档升级。全</w:t>
      </w:r>
      <w:r>
        <w:rPr>
          <w:rFonts w:hint="eastAsia"/>
          <w:color w:val="auto"/>
          <w:sz w:val="32"/>
          <w:szCs w:val="32"/>
          <w:lang w:eastAsia="zh-CN"/>
        </w:rPr>
        <w:t>区</w:t>
      </w:r>
      <w:r>
        <w:rPr>
          <w:rFonts w:hint="eastAsia"/>
          <w:color w:val="auto"/>
          <w:sz w:val="32"/>
          <w:szCs w:val="32"/>
        </w:rPr>
        <w:t>钢铁企业、危化品生产企业率先完成二级标准化建设；全</w:t>
      </w:r>
      <w:r>
        <w:rPr>
          <w:rFonts w:hint="eastAsia"/>
          <w:color w:val="auto"/>
          <w:sz w:val="32"/>
          <w:szCs w:val="32"/>
          <w:lang w:eastAsia="zh-CN"/>
        </w:rPr>
        <w:t>区</w:t>
      </w:r>
      <w:r>
        <w:rPr>
          <w:rFonts w:hint="eastAsia"/>
          <w:color w:val="auto"/>
          <w:sz w:val="32"/>
          <w:szCs w:val="32"/>
        </w:rPr>
        <w:t>规模以上企业、存在高危工艺或重大危险源的其它工贸企业，基本完成三级标准化建设；全</w:t>
      </w:r>
      <w:r>
        <w:rPr>
          <w:rFonts w:hint="eastAsia"/>
          <w:color w:val="auto"/>
          <w:sz w:val="32"/>
          <w:szCs w:val="32"/>
          <w:lang w:eastAsia="zh-CN"/>
        </w:rPr>
        <w:t>区</w:t>
      </w:r>
      <w:r>
        <w:rPr>
          <w:rFonts w:hint="eastAsia"/>
          <w:color w:val="auto"/>
          <w:sz w:val="32"/>
          <w:szCs w:val="32"/>
        </w:rPr>
        <w:t>存在粉尘涉爆、有限空间、涉氨制冷、使用危化品等重点领域重点企业完成三级标准化达标。</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hAnsi="仿宋_GB2312" w:cs="仿宋_GB2312"/>
          <w:color w:val="auto"/>
          <w:sz w:val="32"/>
          <w:szCs w:val="32"/>
        </w:rPr>
        <w:t>紧盯薄弱环节，推进小微企业安全标准化工作有序开展。</w:t>
      </w:r>
      <w:r>
        <w:rPr>
          <w:rFonts w:hint="eastAsia"/>
          <w:color w:val="auto"/>
          <w:sz w:val="32"/>
          <w:szCs w:val="32"/>
        </w:rPr>
        <w:t>进一步明确评审组织单位</w:t>
      </w:r>
      <w:r>
        <w:rPr>
          <w:rFonts w:hint="eastAsia"/>
          <w:color w:val="auto"/>
          <w:sz w:val="32"/>
          <w:szCs w:val="32"/>
          <w:lang w:eastAsia="zh-CN"/>
        </w:rPr>
        <w:t>、</w:t>
      </w:r>
      <w:r>
        <w:rPr>
          <w:rFonts w:hint="eastAsia"/>
          <w:color w:val="auto"/>
          <w:sz w:val="32"/>
          <w:szCs w:val="32"/>
        </w:rPr>
        <w:t>评审机构，简化考评细则和程序，突出双重预防机制建设这一关键，借助社会化服务，扩大覆盖面，督促企业重点建立全员参与的风险管控、隐患排查治理常态化运行体系。</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hAnsi="仿宋_GB2312" w:cs="仿宋_GB2312"/>
          <w:color w:val="auto"/>
          <w:sz w:val="32"/>
          <w:szCs w:val="32"/>
        </w:rPr>
        <w:t>突出双向融合，统筹推进安全标准化和双重预防机制建设</w:t>
      </w:r>
      <w:r>
        <w:rPr>
          <w:rFonts w:hint="eastAsia"/>
          <w:color w:val="auto"/>
          <w:sz w:val="32"/>
          <w:szCs w:val="32"/>
        </w:rPr>
        <w:t>。在推进企业安全标准化创建中，同步推进双重预防机制建设，把两者紧密融合在一起，合并运行。在中小微企业标准化评审中，加大双重预防机制建设运行情况的权重。</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hAnsi="仿宋_GB2312" w:cs="仿宋_GB2312"/>
          <w:color w:val="auto"/>
          <w:sz w:val="32"/>
          <w:szCs w:val="32"/>
        </w:rPr>
        <w:t>完善创建激励，积极探索联合奖惩机制。</w:t>
      </w:r>
      <w:r>
        <w:rPr>
          <w:rFonts w:hint="eastAsia"/>
          <w:color w:val="auto"/>
          <w:sz w:val="32"/>
          <w:szCs w:val="32"/>
        </w:rPr>
        <w:t xml:space="preserve">继续落实企业安全标准化建设资金奖励，积极培育标准化标杆示范企业，借助标准化与汇率、信贷和责任保险等挂钩经济杠杆、差异化监管等措施，激发企业内生动力。督促没有达标的企业强化治本攻坚，聘请社会化服务机构进行“会诊”、培训指导，采取具体措施按期达标。定期组织“回头看”、运行质量审计等，进一步建立完善安全标准化退出淘汰机制和延期免审激励机制。 </w:t>
      </w:r>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44" w:name="_Toc78467539"/>
      <w:bookmarkStart w:id="45" w:name="_Toc23185"/>
      <w:r>
        <w:rPr>
          <w:rFonts w:hint="eastAsia" w:ascii="Times New Roman" w:hAnsi="Times New Roman" w:cs="Times New Roman"/>
          <w:b w:val="0"/>
          <w:bCs w:val="0"/>
          <w:color w:val="auto"/>
          <w:kern w:val="2"/>
          <w:szCs w:val="30"/>
        </w:rPr>
        <w:t>（七）提升</w:t>
      </w:r>
      <w:r>
        <w:rPr>
          <w:rFonts w:hint="eastAsia" w:ascii="Times New Roman" w:hAnsi="Times New Roman" w:cs="Times New Roman"/>
          <w:b w:val="0"/>
          <w:bCs w:val="0"/>
          <w:color w:val="auto"/>
          <w:kern w:val="2"/>
          <w:szCs w:val="30"/>
          <w:lang w:eastAsia="zh-CN"/>
        </w:rPr>
        <w:t>安全生产</w:t>
      </w:r>
      <w:r>
        <w:rPr>
          <w:rFonts w:ascii="Times New Roman" w:hAnsi="Times New Roman" w:cs="Times New Roman"/>
          <w:b w:val="0"/>
          <w:bCs w:val="0"/>
          <w:color w:val="auto"/>
          <w:kern w:val="2"/>
          <w:szCs w:val="30"/>
        </w:rPr>
        <w:t>科技支撑能力</w:t>
      </w:r>
      <w:bookmarkEnd w:id="44"/>
      <w:bookmarkEnd w:id="45"/>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1.加大先进</w:t>
      </w:r>
      <w:r>
        <w:rPr>
          <w:color w:val="auto"/>
        </w:rPr>
        <w:t>技术装备推广应用</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推动信息化、智能化、数字化、网络化技术与安全生产风险防控</w:t>
      </w:r>
      <w:r>
        <w:rPr>
          <w:rFonts w:hint="eastAsia"/>
          <w:color w:val="auto"/>
          <w:sz w:val="32"/>
          <w:szCs w:val="32"/>
          <w:lang w:eastAsia="zh-CN"/>
        </w:rPr>
        <w:t>、应急管理</w:t>
      </w:r>
      <w:r>
        <w:rPr>
          <w:rFonts w:hint="eastAsia"/>
          <w:color w:val="auto"/>
          <w:sz w:val="32"/>
          <w:szCs w:val="32"/>
        </w:rPr>
        <w:t>深度融合，实施智能化工厂、数字化车间、网络化平台项目示范。推进高危行业领域安全技术革新与设备升级改造，开展智能化作业和危险岗位</w:t>
      </w:r>
      <w:r>
        <w:rPr>
          <w:rFonts w:hint="eastAsia"/>
          <w:color w:val="auto"/>
          <w:sz w:val="32"/>
          <w:szCs w:val="32"/>
          <w:lang w:eastAsia="zh-CN"/>
        </w:rPr>
        <w:t>的</w:t>
      </w:r>
      <w:r>
        <w:rPr>
          <w:rFonts w:hint="eastAsia"/>
          <w:color w:val="auto"/>
          <w:sz w:val="32"/>
          <w:szCs w:val="32"/>
        </w:rPr>
        <w:t xml:space="preserve">机器人替代，加快实施“机械化换人、自动化减人、智能化无人”工程。积极推广和应用风险防控、灾害防治、特殊灾害事故处置、预测预警、监测监控、个体防护、工程抗震、灭火救援装备等安全技术和产品。推进重大工业设施和装备风险智能化防控技术应用，加强化工、桥梁、隧道、电力、油气等重大工程和设施安全风险防控。 </w:t>
      </w:r>
    </w:p>
    <w:tbl>
      <w:tblPr>
        <w:tblStyle w:val="17"/>
        <w:tblW w:w="8300" w:type="dxa"/>
        <w:tblInd w:w="112" w:type="dxa"/>
        <w:tblLayout w:type="fixed"/>
        <w:tblCellMar>
          <w:top w:w="0" w:type="dxa"/>
          <w:left w:w="10" w:type="dxa"/>
          <w:bottom w:w="0" w:type="dxa"/>
          <w:right w:w="10" w:type="dxa"/>
        </w:tblCellMar>
      </w:tblPr>
      <w:tblGrid>
        <w:gridCol w:w="8300"/>
      </w:tblGrid>
      <w:tr>
        <w:tblPrEx>
          <w:tblCellMar>
            <w:top w:w="0" w:type="dxa"/>
            <w:left w:w="10" w:type="dxa"/>
            <w:bottom w:w="0" w:type="dxa"/>
            <w:right w:w="10" w:type="dxa"/>
          </w:tblCellMar>
        </w:tblPrEx>
        <w:trPr>
          <w:trHeight w:val="567" w:hRule="atLeast"/>
        </w:trPr>
        <w:tc>
          <w:tcPr>
            <w:tcW w:w="8300"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topLinePunct w:val="0"/>
              <w:bidi w:val="0"/>
              <w:spacing w:line="550" w:lineRule="exact"/>
              <w:jc w:val="center"/>
              <w:textAlignment w:val="auto"/>
              <w:rPr>
                <w:szCs w:val="22"/>
                <w:lang w:bidi="zh-CN"/>
              </w:rPr>
            </w:pPr>
            <w:r>
              <w:rPr>
                <w:rFonts w:hint="eastAsia" w:eastAsia="黑体"/>
                <w:sz w:val="28"/>
                <w:szCs w:val="28"/>
              </w:rPr>
              <w:t>专栏</w:t>
            </w:r>
            <w:r>
              <w:rPr>
                <w:rFonts w:hint="eastAsia" w:eastAsia="黑体"/>
                <w:sz w:val="28"/>
                <w:szCs w:val="28"/>
                <w:lang w:val="en-US" w:eastAsia="zh-CN"/>
              </w:rPr>
              <w:t xml:space="preserve">11 </w:t>
            </w:r>
            <w:r>
              <w:rPr>
                <w:rFonts w:hint="eastAsia" w:eastAsia="黑体"/>
                <w:sz w:val="28"/>
                <w:szCs w:val="28"/>
              </w:rPr>
              <w:t>安全生产</w:t>
            </w:r>
            <w:r>
              <w:rPr>
                <w:rFonts w:hint="eastAsia" w:eastAsia="黑体"/>
                <w:sz w:val="28"/>
                <w:szCs w:val="28"/>
                <w:lang w:eastAsia="zh-CN"/>
              </w:rPr>
              <w:t>和应急救援</w:t>
            </w:r>
            <w:r>
              <w:rPr>
                <w:rFonts w:hint="eastAsia" w:eastAsia="黑体"/>
                <w:sz w:val="28"/>
                <w:szCs w:val="28"/>
              </w:rPr>
              <w:t>信息化建设</w:t>
            </w:r>
          </w:p>
        </w:tc>
      </w:tr>
      <w:tr>
        <w:tblPrEx>
          <w:tblCellMar>
            <w:top w:w="0" w:type="dxa"/>
            <w:left w:w="10" w:type="dxa"/>
            <w:bottom w:w="0" w:type="dxa"/>
            <w:right w:w="10" w:type="dxa"/>
          </w:tblCellMar>
        </w:tblPrEx>
        <w:tc>
          <w:tcPr>
            <w:tcW w:w="83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1.到2025年，构建全覆盖的安全生产</w:t>
            </w:r>
            <w:r>
              <w:rPr>
                <w:rFonts w:hint="eastAsia" w:ascii="楷体_GB2312" w:eastAsia="楷体_GB2312"/>
                <w:color w:val="auto"/>
                <w:sz w:val="24"/>
                <w:lang w:eastAsia="zh-CN"/>
              </w:rPr>
              <w:t>、应急救援</w:t>
            </w:r>
            <w:r>
              <w:rPr>
                <w:rFonts w:hint="eastAsia" w:ascii="楷体_GB2312" w:eastAsia="楷体_GB2312"/>
                <w:color w:val="auto"/>
                <w:sz w:val="24"/>
              </w:rPr>
              <w:t>感知网络；</w:t>
            </w:r>
          </w:p>
          <w:p>
            <w:pPr>
              <w:spacing w:line="300" w:lineRule="auto"/>
              <w:ind w:firstLine="480" w:firstLineChars="200"/>
              <w:rPr>
                <w:sz w:val="24"/>
              </w:rPr>
            </w:pPr>
            <w:r>
              <w:rPr>
                <w:rFonts w:hint="eastAsia" w:ascii="楷体_GB2312" w:eastAsia="楷体_GB2312"/>
                <w:color w:val="auto"/>
                <w:sz w:val="24"/>
              </w:rPr>
              <w:t>2.到2025年，信息化执法率＞90%。</w:t>
            </w:r>
          </w:p>
        </w:tc>
      </w:tr>
    </w:tbl>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2.</w:t>
      </w:r>
      <w:r>
        <w:rPr>
          <w:color w:val="auto"/>
        </w:rPr>
        <w:t>推进安全专业人才培养</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建立健全安全生产科技创新、有利于科技人才队伍的管理体制机制，加大科技人才奖励激励力度，推动形成一支规模适当、结构合理、素质优良的安全生产科技人才队伍。</w:t>
      </w:r>
      <w:r>
        <w:rPr>
          <w:rFonts w:hint="eastAsia"/>
          <w:color w:val="auto"/>
          <w:sz w:val="32"/>
          <w:szCs w:val="32"/>
          <w:lang w:eastAsia="zh-CN"/>
        </w:rPr>
        <w:t>依照连云港市</w:t>
      </w:r>
      <w:r>
        <w:rPr>
          <w:rFonts w:hint="eastAsia"/>
          <w:color w:val="auto"/>
          <w:sz w:val="32"/>
          <w:szCs w:val="32"/>
        </w:rPr>
        <w:t>应急管理人才三年培养计划，加强</w:t>
      </w:r>
      <w:r>
        <w:rPr>
          <w:color w:val="auto"/>
          <w:sz w:val="32"/>
          <w:szCs w:val="32"/>
        </w:rPr>
        <w:t>对</w:t>
      </w:r>
      <w:r>
        <w:rPr>
          <w:rFonts w:hint="eastAsia"/>
          <w:color w:val="auto"/>
          <w:sz w:val="32"/>
          <w:szCs w:val="32"/>
        </w:rPr>
        <w:t>应急管理专业人才、应急管理干部和企业三项岗位人员的培训。加强技术力量整合，推进技术支撑保障力量、教学科研力量整合，加强与相关领域知名高校、科研院所及信息技术领军企业的长期稳定合作，提升自身技术运作能力。推动</w:t>
      </w:r>
      <w:r>
        <w:rPr>
          <w:rFonts w:hint="eastAsia"/>
          <w:color w:val="auto"/>
          <w:sz w:val="32"/>
          <w:szCs w:val="32"/>
          <w:lang w:eastAsia="zh-CN"/>
        </w:rPr>
        <w:t>核知识科普馆和</w:t>
      </w:r>
      <w:r>
        <w:rPr>
          <w:color w:val="auto"/>
          <w:sz w:val="32"/>
          <w:szCs w:val="32"/>
        </w:rPr>
        <w:t>应急救援</w:t>
      </w:r>
      <w:r>
        <w:rPr>
          <w:rFonts w:hint="eastAsia"/>
          <w:color w:val="auto"/>
          <w:sz w:val="32"/>
          <w:szCs w:val="32"/>
        </w:rPr>
        <w:t xml:space="preserve">实训基地建设，开展企业全员安全教育培训，提升从业人员安全生产素质和事故防范技能。 </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3.加强安全生产</w:t>
      </w:r>
      <w:r>
        <w:rPr>
          <w:color w:val="auto"/>
        </w:rPr>
        <w:t>信息</w:t>
      </w:r>
      <w:r>
        <w:rPr>
          <w:rFonts w:hint="eastAsia"/>
          <w:color w:val="auto"/>
        </w:rPr>
        <w:t>化</w:t>
      </w:r>
      <w:r>
        <w:rPr>
          <w:color w:val="auto"/>
        </w:rPr>
        <w:t>建设</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推动信息技术与安全生产的深度融合，运用大数据、物联网、区块链、人工智能、虚拟</w:t>
      </w:r>
      <w:r>
        <w:rPr>
          <w:color w:val="auto"/>
          <w:sz w:val="32"/>
          <w:szCs w:val="32"/>
        </w:rPr>
        <w:t>/增强现实</w:t>
      </w:r>
      <w:r>
        <w:rPr>
          <w:rFonts w:hint="eastAsia" w:ascii="Times New Roman" w:hAnsi="Times New Roman" w:eastAsia="仿宋_GB2312" w:cs="宋体"/>
          <w:color w:val="000000"/>
          <w:sz w:val="32"/>
          <w:szCs w:val="32"/>
          <w:lang w:val="en-US" w:eastAsia="zh-CN" w:bidi="ar-SA"/>
        </w:rPr>
        <w:t>、5G通</w:t>
      </w:r>
      <w:r>
        <w:rPr>
          <w:color w:val="auto"/>
          <w:sz w:val="32"/>
          <w:szCs w:val="32"/>
        </w:rPr>
        <w:t>信等科技手段，统筹推进重点行业领域安全生产监管信息平台的建设和应用</w:t>
      </w:r>
      <w:r>
        <w:rPr>
          <w:rFonts w:hint="eastAsia"/>
          <w:color w:val="auto"/>
          <w:sz w:val="32"/>
          <w:szCs w:val="32"/>
        </w:rPr>
        <w:t xml:space="preserve">。深化高危行业领域企业安全生产风险监测预警系统建设，推动大型建筑、大型公用设施、公共空间、地下管网等感知数据接入，实现分级分类实时监测、动态评估和及时预警。加强安全生产“大数据”分析应用，以风险分级管控、隐患排查治理、重大危险源监控为主要内容，开展安全生产规律性、关联性特征分析，实现风险隐患从“被动应对”向“主动管理”的有力转变，提升安全生产风险管控、隐患排查、监管执法、决策分析、救援处置等的智能化水平。鼓励政府、企业、社会共同参与信息化建设，培育安全生产众创众智新模式。 </w:t>
      </w:r>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46" w:name="_Toc8348"/>
      <w:bookmarkStart w:id="47" w:name="_Toc78467540"/>
      <w:r>
        <w:rPr>
          <w:rFonts w:hint="eastAsia" w:ascii="Times New Roman" w:hAnsi="Times New Roman" w:cs="Times New Roman"/>
          <w:b w:val="0"/>
          <w:bCs w:val="0"/>
          <w:color w:val="auto"/>
          <w:kern w:val="2"/>
          <w:szCs w:val="30"/>
        </w:rPr>
        <w:t>（八）提升</w:t>
      </w:r>
      <w:r>
        <w:rPr>
          <w:rFonts w:hint="eastAsia" w:ascii="Times New Roman" w:hAnsi="Times New Roman" w:cs="Times New Roman"/>
          <w:b w:val="0"/>
          <w:bCs w:val="0"/>
          <w:color w:val="auto"/>
          <w:kern w:val="2"/>
          <w:szCs w:val="30"/>
          <w:lang w:eastAsia="zh-CN"/>
        </w:rPr>
        <w:t>安全生产</w:t>
      </w:r>
      <w:r>
        <w:rPr>
          <w:rFonts w:hint="eastAsia" w:ascii="Times New Roman" w:hAnsi="Times New Roman" w:cs="Times New Roman"/>
          <w:b w:val="0"/>
          <w:bCs w:val="0"/>
          <w:color w:val="auto"/>
          <w:kern w:val="2"/>
          <w:szCs w:val="30"/>
        </w:rPr>
        <w:t>社会</w:t>
      </w:r>
      <w:r>
        <w:rPr>
          <w:rFonts w:ascii="Times New Roman" w:hAnsi="Times New Roman" w:cs="Times New Roman"/>
          <w:b w:val="0"/>
          <w:bCs w:val="0"/>
          <w:color w:val="auto"/>
          <w:kern w:val="2"/>
          <w:szCs w:val="30"/>
        </w:rPr>
        <w:t>共治能力</w:t>
      </w:r>
      <w:bookmarkEnd w:id="46"/>
      <w:bookmarkEnd w:id="47"/>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1.完善社会动员调度和协同机制</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明确</w:t>
      </w:r>
      <w:r>
        <w:rPr>
          <w:rFonts w:hint="eastAsia"/>
          <w:color w:val="auto"/>
          <w:sz w:val="32"/>
          <w:szCs w:val="32"/>
          <w:lang w:eastAsia="zh-CN"/>
        </w:rPr>
        <w:t>乡街</w:t>
      </w:r>
      <w:r>
        <w:rPr>
          <w:rFonts w:hint="eastAsia"/>
          <w:color w:val="auto"/>
          <w:sz w:val="32"/>
          <w:szCs w:val="32"/>
        </w:rPr>
        <w:t>、社区（村）</w:t>
      </w:r>
      <w:r>
        <w:rPr>
          <w:rFonts w:hint="eastAsia"/>
          <w:color w:val="auto"/>
          <w:sz w:val="32"/>
          <w:szCs w:val="32"/>
          <w:lang w:eastAsia="zh-CN"/>
        </w:rPr>
        <w:t>、网格员</w:t>
      </w:r>
      <w:r>
        <w:rPr>
          <w:rFonts w:hint="eastAsia"/>
          <w:color w:val="auto"/>
          <w:sz w:val="32"/>
          <w:szCs w:val="32"/>
        </w:rPr>
        <w:t xml:space="preserve">及各级应急管理部门在社会动员中的职责任务，加强政府与社会组织、社会组织之间常态联络与深度协同，推进联演联训，提高事故应对能力。推进安全生产社会动员的制度化、规范化和法治化，建立安全生产社会动员激励机制，通过资金支持、保险、善后补偿、物质奖励等形式，为社会力量参与安全生产提供保障。 </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rFonts w:hint="eastAsia"/>
          <w:color w:val="auto"/>
        </w:rPr>
        <w:t>2.完善社会化服务体系</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培育引导专业能力强、社会信誉好的</w:t>
      </w:r>
      <w:r>
        <w:rPr>
          <w:color w:val="auto"/>
          <w:sz w:val="32"/>
          <w:szCs w:val="32"/>
        </w:rPr>
        <w:t>行业协会</w:t>
      </w:r>
      <w:r>
        <w:rPr>
          <w:rFonts w:hint="eastAsia"/>
          <w:color w:val="auto"/>
          <w:sz w:val="32"/>
          <w:szCs w:val="32"/>
        </w:rPr>
        <w:t>、科研院所、行业领军企业等社会力量</w:t>
      </w:r>
      <w:r>
        <w:rPr>
          <w:color w:val="auto"/>
          <w:sz w:val="32"/>
          <w:szCs w:val="32"/>
        </w:rPr>
        <w:t>参与安全生产治理，为政府监管和企业安全管理提供技术服务</w:t>
      </w:r>
      <w:r>
        <w:rPr>
          <w:rFonts w:hint="eastAsia"/>
          <w:color w:val="auto"/>
          <w:sz w:val="32"/>
          <w:szCs w:val="32"/>
        </w:rPr>
        <w:t xml:space="preserve">。建立健全政府购买安全生产服务指导目录，支持社会化服务机构发展。鼓励企业向注册安全工程师事务所购买技术服务，或开展安全生产委托管理服务。鼓励中小微企业采取订单式、协作式购买技术服务开展安全生产管理和技术服务。建立安全生产社会化服务信息平台，推动安全生产服务需求和供给资源的共享对接。大力实施安全生产责任保险，推进高危行业领域全面实施安全生产责任保险，鼓励其他生产经营单位积极投保安全生产责任保险。 </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color w:val="auto"/>
        </w:rPr>
        <w:t>3</w:t>
      </w:r>
      <w:r>
        <w:rPr>
          <w:rFonts w:hint="eastAsia"/>
          <w:color w:val="auto"/>
        </w:rPr>
        <w:t>.深化企业诚信体系建设</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督促企业建立安全承诺制度</w:t>
      </w:r>
      <w:r>
        <w:rPr>
          <w:color w:val="auto"/>
          <w:sz w:val="32"/>
          <w:szCs w:val="32"/>
        </w:rPr>
        <w:t>，向社会和全体员工公开落实主体责任、健全管理体系、加大安全投入、严格风险管控、强化隐患治理等情况。</w:t>
      </w:r>
      <w:r>
        <w:rPr>
          <w:rFonts w:hint="eastAsia"/>
          <w:color w:val="auto"/>
          <w:sz w:val="32"/>
          <w:szCs w:val="32"/>
        </w:rPr>
        <w:t xml:space="preserve">推进安全生产信用分级分类监管，根据企业安全生产信用等级高低采取差异化的监管措施。推动“双随机、一公开”监管与信用等级相结合，对安全信用较好的企业，可适当的降低抽查比例和频次；对违法失信的企业，适当提高抽查比例和频次。完善对安全生产领域失信行为开展失信惩戒和纳入安全生产严重失信主体名单管理的实施办法，强化违法失信行为信息公开，加大对安全生产违法失信企业的责任追究。建立上市公司安全生产信息强制性披露机制，对未尽披露义务的上市公司依法予以处罚。实施安全绩效“领跑者”制度，采取财税优惠、荣誉表彰等措施激励企业实现更高标准的安全目标。 </w:t>
      </w:r>
    </w:p>
    <w:p>
      <w:pPr>
        <w:pStyle w:val="5"/>
        <w:pageBreakBefore w:val="0"/>
        <w:widowControl w:val="0"/>
        <w:kinsoku/>
        <w:wordWrap/>
        <w:overflowPunct/>
        <w:topLinePunct w:val="0"/>
        <w:autoSpaceDE/>
        <w:autoSpaceDN/>
        <w:bidi w:val="0"/>
        <w:spacing w:line="560" w:lineRule="exact"/>
        <w:ind w:left="0" w:leftChars="0" w:firstLine="643" w:firstLineChars="200"/>
        <w:jc w:val="both"/>
        <w:textAlignment w:val="auto"/>
        <w:rPr>
          <w:color w:val="auto"/>
        </w:rPr>
      </w:pPr>
      <w:r>
        <w:rPr>
          <w:color w:val="auto"/>
        </w:rPr>
        <w:t>4</w:t>
      </w:r>
      <w:r>
        <w:rPr>
          <w:rFonts w:hint="eastAsia"/>
          <w:color w:val="auto"/>
        </w:rPr>
        <w:t>.加强</w:t>
      </w:r>
      <w:r>
        <w:rPr>
          <w:color w:val="auto"/>
        </w:rPr>
        <w:t>安全生产宣传教育</w:t>
      </w:r>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从安全价值、安全伦理、安全认同、安全意愿、安全意识、安全知识与安全技能等方面扎实推进安全宣传教育工作</w:t>
      </w:r>
      <w:r>
        <w:rPr>
          <w:color w:val="auto"/>
          <w:sz w:val="32"/>
          <w:szCs w:val="32"/>
        </w:rPr>
        <w:t>，</w:t>
      </w:r>
      <w:r>
        <w:rPr>
          <w:rFonts w:hint="eastAsia"/>
          <w:color w:val="auto"/>
          <w:sz w:val="32"/>
          <w:szCs w:val="32"/>
        </w:rPr>
        <w:t>实施全民安全生产宣传教育行动计划，开展重点行业领域安全、居家安全、公共安全等科普教育。加强安全文化建设，持续深入开展“安全生产月”“青年安全生产示范岗”等公益宣教活动。利用“两微一端”等新媒体平台开展安全生产公益宣传，推动安全宣传进企业、进农村、进社区、进学校、进家庭。完善公民安全教育体系，将安全教育纳入公民法治和科学常识普及、职业技能培训中，提升全民安全素质。</w:t>
      </w:r>
      <w:bookmarkStart w:id="48" w:name="_Toc54039171"/>
      <w:bookmarkEnd w:id="48"/>
      <w:bookmarkStart w:id="49" w:name="_Toc40947957"/>
      <w:bookmarkEnd w:id="49"/>
      <w:bookmarkStart w:id="50" w:name="_Toc40947958"/>
      <w:bookmarkEnd w:id="50"/>
    </w:p>
    <w:tbl>
      <w:tblPr>
        <w:tblStyle w:val="17"/>
        <w:tblW w:w="8300" w:type="dxa"/>
        <w:tblInd w:w="112" w:type="dxa"/>
        <w:tblLayout w:type="fixed"/>
        <w:tblCellMar>
          <w:top w:w="0" w:type="dxa"/>
          <w:left w:w="10" w:type="dxa"/>
          <w:bottom w:w="0" w:type="dxa"/>
          <w:right w:w="10" w:type="dxa"/>
        </w:tblCellMar>
      </w:tblPr>
      <w:tblGrid>
        <w:gridCol w:w="8300"/>
      </w:tblGrid>
      <w:tr>
        <w:tblPrEx>
          <w:tblCellMar>
            <w:top w:w="0" w:type="dxa"/>
            <w:left w:w="10" w:type="dxa"/>
            <w:bottom w:w="0" w:type="dxa"/>
            <w:right w:w="10" w:type="dxa"/>
          </w:tblCellMar>
        </w:tblPrEx>
        <w:trPr>
          <w:trHeight w:val="567" w:hRule="atLeast"/>
        </w:trPr>
        <w:tc>
          <w:tcPr>
            <w:tcW w:w="8300"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topLinePunct w:val="0"/>
              <w:bidi w:val="0"/>
              <w:spacing w:line="550" w:lineRule="exact"/>
              <w:jc w:val="center"/>
              <w:textAlignment w:val="auto"/>
              <w:rPr>
                <w:szCs w:val="22"/>
                <w:lang w:bidi="zh-CN"/>
              </w:rPr>
            </w:pPr>
            <w:r>
              <w:rPr>
                <w:rFonts w:hint="eastAsia" w:eastAsia="黑体"/>
                <w:sz w:val="28"/>
                <w:szCs w:val="28"/>
              </w:rPr>
              <w:t>专栏1</w:t>
            </w:r>
            <w:r>
              <w:rPr>
                <w:rFonts w:hint="eastAsia" w:eastAsia="黑体"/>
                <w:sz w:val="28"/>
                <w:szCs w:val="28"/>
                <w:lang w:val="en-US" w:eastAsia="zh-CN"/>
              </w:rPr>
              <w:t xml:space="preserve">2  </w:t>
            </w:r>
            <w:r>
              <w:rPr>
                <w:rFonts w:hint="eastAsia" w:eastAsia="黑体"/>
                <w:sz w:val="28"/>
                <w:szCs w:val="28"/>
              </w:rPr>
              <w:t>安全生产宣传教育</w:t>
            </w:r>
          </w:p>
        </w:tc>
      </w:tr>
      <w:tr>
        <w:tblPrEx>
          <w:tblCellMar>
            <w:top w:w="0" w:type="dxa"/>
            <w:left w:w="10" w:type="dxa"/>
            <w:bottom w:w="0" w:type="dxa"/>
            <w:right w:w="10" w:type="dxa"/>
          </w:tblCellMar>
        </w:tblPrEx>
        <w:tc>
          <w:tcPr>
            <w:tcW w:w="83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1.到2025年，中小学安全教育覆盖率100%；</w:t>
            </w:r>
          </w:p>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2.到2025年，安全宣传进企业、进农村、进社区、进学校、进家庭达到100%；</w:t>
            </w:r>
          </w:p>
          <w:p>
            <w:pPr>
              <w:spacing w:line="300" w:lineRule="auto"/>
              <w:ind w:firstLine="480" w:firstLineChars="200"/>
              <w:rPr>
                <w:sz w:val="24"/>
              </w:rPr>
            </w:pPr>
            <w:r>
              <w:rPr>
                <w:rFonts w:hint="eastAsia" w:ascii="楷体_GB2312" w:eastAsia="楷体_GB2312"/>
                <w:color w:val="auto"/>
                <w:sz w:val="24"/>
              </w:rPr>
              <w:t>3.到2025年，全体</w:t>
            </w:r>
            <w:r>
              <w:rPr>
                <w:rFonts w:hint="eastAsia" w:ascii="楷体_GB2312" w:eastAsia="楷体_GB2312"/>
                <w:color w:val="auto"/>
                <w:sz w:val="24"/>
                <w:lang w:eastAsia="zh-CN"/>
              </w:rPr>
              <w:t>居民</w:t>
            </w:r>
            <w:r>
              <w:rPr>
                <w:rFonts w:hint="eastAsia" w:ascii="楷体_GB2312" w:eastAsia="楷体_GB2312"/>
                <w:color w:val="auto"/>
                <w:sz w:val="24"/>
              </w:rPr>
              <w:t>安全知识普及率达到90%以上。</w:t>
            </w:r>
          </w:p>
        </w:tc>
      </w:tr>
    </w:tbl>
    <w:p>
      <w:pPr>
        <w:pStyle w:val="3"/>
        <w:pageBreakBefore w:val="0"/>
        <w:widowControl w:val="0"/>
        <w:kinsoku/>
        <w:wordWrap/>
        <w:overflowPunct/>
        <w:topLinePunct w:val="0"/>
        <w:autoSpaceDE/>
        <w:autoSpaceDN/>
        <w:bidi w:val="0"/>
        <w:spacing w:beforeLines="0" w:afterLines="0" w:line="560" w:lineRule="exact"/>
        <w:ind w:left="0" w:leftChars="0" w:firstLine="640" w:firstLineChars="200"/>
        <w:jc w:val="both"/>
        <w:textAlignment w:val="auto"/>
        <w:rPr>
          <w:b w:val="0"/>
          <w:bCs w:val="0"/>
          <w:color w:val="auto"/>
          <w:sz w:val="32"/>
          <w:szCs w:val="32"/>
        </w:rPr>
      </w:pPr>
      <w:bookmarkStart w:id="51" w:name="_Toc40947960"/>
      <w:bookmarkStart w:id="52" w:name="_Toc8212"/>
      <w:bookmarkStart w:id="53" w:name="_Toc78467541"/>
      <w:r>
        <w:rPr>
          <w:rFonts w:hint="eastAsia"/>
          <w:b w:val="0"/>
          <w:bCs w:val="0"/>
          <w:color w:val="auto"/>
          <w:sz w:val="32"/>
          <w:szCs w:val="32"/>
        </w:rPr>
        <w:t>四、重点工程</w:t>
      </w:r>
      <w:bookmarkEnd w:id="51"/>
      <w:r>
        <w:rPr>
          <w:rFonts w:hint="eastAsia"/>
          <w:b w:val="0"/>
          <w:bCs w:val="0"/>
          <w:color w:val="auto"/>
          <w:sz w:val="32"/>
          <w:szCs w:val="32"/>
        </w:rPr>
        <w:t>项目</w:t>
      </w:r>
      <w:bookmarkEnd w:id="52"/>
      <w:bookmarkEnd w:id="53"/>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54" w:name="_Toc78467542"/>
      <w:bookmarkStart w:id="55" w:name="_Toc1998"/>
      <w:bookmarkStart w:id="56" w:name="_Toc40947961"/>
      <w:r>
        <w:rPr>
          <w:rFonts w:hint="eastAsia" w:ascii="Times New Roman" w:hAnsi="Times New Roman" w:cs="Times New Roman"/>
          <w:b w:val="0"/>
          <w:bCs w:val="0"/>
          <w:color w:val="auto"/>
          <w:kern w:val="2"/>
          <w:szCs w:val="30"/>
        </w:rPr>
        <w:t>（一）安全发展示范城市创建工程</w:t>
      </w:r>
      <w:bookmarkEnd w:id="54"/>
      <w:bookmarkEnd w:id="55"/>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优化城市区划安全布局，推动形成有效防控重大安全风险的城市空间安全发展格局。全面开展城市安全风险评估，健全城市建设与运行安全风险管控责任体系和重大安全风险联防联控机制。完善城市高层建筑、大型综合体、综合交通枢纽、隧道桥梁、管线管廊、道路运输、燃气工程、排水防涝、电力设施等安全管理办法。加强城市各类防灾减灾救灾基础设施建设，加快构建以安全生产为基础的城市安全发展体系，提升城市安全保障水平。全面开展安全发展示范城市创建活动，提升城市安全治理体系和治理能力现代化水平。坚持“以创促建、创建一体”，聚焦以安全</w:t>
      </w:r>
      <w:r>
        <w:rPr>
          <w:color w:val="auto"/>
          <w:sz w:val="32"/>
          <w:szCs w:val="32"/>
        </w:rPr>
        <w:t>生产为基础</w:t>
      </w:r>
      <w:r>
        <w:rPr>
          <w:rFonts w:hint="eastAsia"/>
          <w:color w:val="auto"/>
          <w:sz w:val="32"/>
          <w:szCs w:val="32"/>
        </w:rPr>
        <w:t>的</w:t>
      </w:r>
      <w:r>
        <w:rPr>
          <w:color w:val="auto"/>
          <w:sz w:val="32"/>
          <w:szCs w:val="32"/>
        </w:rPr>
        <w:t>城市安全发展体系建设，</w:t>
      </w:r>
      <w:r>
        <w:rPr>
          <w:rFonts w:hint="eastAsia"/>
          <w:color w:val="auto"/>
          <w:sz w:val="32"/>
          <w:szCs w:val="32"/>
        </w:rPr>
        <w:t>开展</w:t>
      </w:r>
      <w:r>
        <w:rPr>
          <w:color w:val="auto"/>
          <w:sz w:val="32"/>
          <w:szCs w:val="32"/>
        </w:rPr>
        <w:t>城市安全源头治理、</w:t>
      </w:r>
      <w:r>
        <w:rPr>
          <w:rFonts w:hint="eastAsia"/>
          <w:color w:val="auto"/>
          <w:sz w:val="32"/>
          <w:szCs w:val="32"/>
        </w:rPr>
        <w:t>风险</w:t>
      </w:r>
      <w:r>
        <w:rPr>
          <w:color w:val="auto"/>
          <w:sz w:val="32"/>
          <w:szCs w:val="32"/>
        </w:rPr>
        <w:t>防控、监督管理、保障能力和应急救援</w:t>
      </w:r>
      <w:r>
        <w:rPr>
          <w:rFonts w:hint="eastAsia"/>
          <w:color w:val="auto"/>
          <w:sz w:val="32"/>
          <w:szCs w:val="32"/>
        </w:rPr>
        <w:t>体系</w:t>
      </w:r>
      <w:r>
        <w:rPr>
          <w:color w:val="auto"/>
          <w:sz w:val="32"/>
          <w:szCs w:val="32"/>
        </w:rPr>
        <w:t>建设</w:t>
      </w:r>
      <w:r>
        <w:rPr>
          <w:rFonts w:hint="eastAsia"/>
          <w:color w:val="auto"/>
          <w:sz w:val="32"/>
          <w:szCs w:val="32"/>
        </w:rPr>
        <w:t>，实现风险动态监控、智能预警和远程监管。建立城市安全发展长效评价工作机制，完善安全发展评价指标体系。</w:t>
      </w:r>
    </w:p>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57" w:name="_Toc19819"/>
      <w:bookmarkStart w:id="58" w:name="_Toc78467543"/>
      <w:r>
        <w:rPr>
          <w:rFonts w:hint="eastAsia" w:ascii="Times New Roman" w:hAnsi="Times New Roman" w:cs="Times New Roman"/>
          <w:b w:val="0"/>
          <w:bCs w:val="0"/>
          <w:color w:val="auto"/>
          <w:kern w:val="2"/>
          <w:szCs w:val="30"/>
        </w:rPr>
        <w:t>（二）重点领域安全风险防控</w:t>
      </w:r>
      <w:bookmarkEnd w:id="56"/>
      <w:r>
        <w:rPr>
          <w:rFonts w:hint="eastAsia" w:ascii="Times New Roman" w:hAnsi="Times New Roman" w:cs="Times New Roman"/>
          <w:b w:val="0"/>
          <w:bCs w:val="0"/>
          <w:color w:val="auto"/>
          <w:kern w:val="2"/>
          <w:szCs w:val="30"/>
        </w:rPr>
        <w:t>能力</w:t>
      </w:r>
      <w:r>
        <w:rPr>
          <w:rFonts w:ascii="Times New Roman" w:hAnsi="Times New Roman" w:cs="Times New Roman"/>
          <w:b w:val="0"/>
          <w:bCs w:val="0"/>
          <w:color w:val="auto"/>
          <w:kern w:val="2"/>
          <w:szCs w:val="30"/>
        </w:rPr>
        <w:t>提升工程</w:t>
      </w:r>
      <w:bookmarkEnd w:id="57"/>
      <w:bookmarkEnd w:id="58"/>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选取危险化学品、道路运输、建筑施工、消防等重点行业领域，聚焦事故易发多发的重点地区、重点领域、重点环节，开展风险辨识、评估、分级管控和监测预警等全过程的风险防控工作，摸清安全风险底数，健全完善安全风险监测预警系统，实现危险化学品和重点冶金工贸企业安全风险防控线上监测预警。</w:t>
      </w:r>
      <w:r>
        <w:rPr>
          <w:rFonts w:hint="eastAsia"/>
          <w:color w:val="auto"/>
          <w:sz w:val="32"/>
          <w:szCs w:val="32"/>
          <w:lang w:eastAsia="zh-CN"/>
        </w:rPr>
        <w:t>推进板桥工业</w:t>
      </w:r>
      <w:r>
        <w:rPr>
          <w:rFonts w:hint="eastAsia"/>
          <w:color w:val="auto"/>
          <w:sz w:val="32"/>
          <w:szCs w:val="32"/>
        </w:rPr>
        <w:t>园区</w:t>
      </w:r>
      <w:r>
        <w:rPr>
          <w:rFonts w:hint="eastAsia"/>
          <w:color w:val="auto"/>
          <w:sz w:val="32"/>
          <w:szCs w:val="32"/>
          <w:lang w:eastAsia="zh-CN"/>
        </w:rPr>
        <w:t>开展</w:t>
      </w:r>
      <w:r>
        <w:rPr>
          <w:rFonts w:hint="eastAsia"/>
          <w:color w:val="auto"/>
          <w:sz w:val="32"/>
          <w:szCs w:val="32"/>
        </w:rPr>
        <w:t>安全风险监测预警工作，实现对园区内企业、重点场所、重大危险源、基础设施安全风险监控预警，</w:t>
      </w:r>
      <w:r>
        <w:rPr>
          <w:color w:val="auto"/>
          <w:sz w:val="32"/>
          <w:szCs w:val="32"/>
        </w:rPr>
        <w:t>形成统一高效、科学精准、资源共享、信息互通、联防联控、多元参与的城市安全风险防控体系。</w:t>
      </w:r>
      <w:r>
        <w:rPr>
          <w:rFonts w:hint="eastAsia"/>
          <w:color w:val="auto"/>
          <w:sz w:val="32"/>
          <w:szCs w:val="32"/>
        </w:rPr>
        <w:t>持续开展危险化学品、</w:t>
      </w:r>
      <w:r>
        <w:rPr>
          <w:color w:val="auto"/>
          <w:sz w:val="32"/>
          <w:szCs w:val="32"/>
        </w:rPr>
        <w:t>海洋渔业</w:t>
      </w:r>
      <w:r>
        <w:rPr>
          <w:rFonts w:hint="eastAsia"/>
          <w:color w:val="auto"/>
          <w:sz w:val="32"/>
          <w:szCs w:val="32"/>
          <w:lang w:eastAsia="zh-CN"/>
        </w:rPr>
        <w:t>、</w:t>
      </w:r>
      <w:r>
        <w:rPr>
          <w:rFonts w:hint="eastAsia"/>
          <w:color w:val="auto"/>
          <w:sz w:val="32"/>
          <w:szCs w:val="32"/>
        </w:rPr>
        <w:t>道路</w:t>
      </w:r>
      <w:r>
        <w:rPr>
          <w:color w:val="auto"/>
          <w:sz w:val="32"/>
          <w:szCs w:val="32"/>
        </w:rPr>
        <w:t>交通、建筑施工、消防</w:t>
      </w:r>
      <w:r>
        <w:rPr>
          <w:rFonts w:hint="eastAsia"/>
          <w:color w:val="auto"/>
          <w:sz w:val="32"/>
          <w:szCs w:val="32"/>
        </w:rPr>
        <w:t>、</w:t>
      </w:r>
      <w:r>
        <w:rPr>
          <w:color w:val="auto"/>
          <w:sz w:val="32"/>
          <w:szCs w:val="32"/>
        </w:rPr>
        <w:t>冶金工贸、特种设备</w:t>
      </w:r>
      <w:r>
        <w:rPr>
          <w:rFonts w:hint="eastAsia"/>
          <w:color w:val="auto"/>
          <w:sz w:val="32"/>
          <w:szCs w:val="32"/>
        </w:rPr>
        <w:t>等重点行业领域隐患排查治理，建立完善隐患排查治理长效工作机制，突出重点地区，聚焦重大隐患，严格实施重大安全隐患排查</w:t>
      </w:r>
      <w:r>
        <w:rPr>
          <w:color w:val="auto"/>
          <w:sz w:val="32"/>
          <w:szCs w:val="32"/>
        </w:rPr>
        <w:t>、登记、治理、分析、摘牌</w:t>
      </w:r>
      <w:r>
        <w:rPr>
          <w:rFonts w:hint="eastAsia"/>
          <w:color w:val="auto"/>
          <w:sz w:val="32"/>
          <w:szCs w:val="32"/>
        </w:rPr>
        <w:t>闭环管理制度，推进重大</w:t>
      </w:r>
      <w:r>
        <w:rPr>
          <w:color w:val="auto"/>
          <w:sz w:val="32"/>
          <w:szCs w:val="32"/>
        </w:rPr>
        <w:t>隐患</w:t>
      </w:r>
      <w:r>
        <w:rPr>
          <w:rFonts w:hint="eastAsia"/>
          <w:color w:val="auto"/>
          <w:sz w:val="32"/>
          <w:szCs w:val="32"/>
        </w:rPr>
        <w:t>项目</w:t>
      </w:r>
      <w:r>
        <w:rPr>
          <w:color w:val="auto"/>
          <w:sz w:val="32"/>
          <w:szCs w:val="32"/>
        </w:rPr>
        <w:t>整治，</w:t>
      </w:r>
      <w:r>
        <w:rPr>
          <w:rFonts w:hint="eastAsia"/>
          <w:color w:val="auto"/>
          <w:sz w:val="32"/>
          <w:szCs w:val="32"/>
        </w:rPr>
        <w:t>以项目化推进安全生产创新，确保通过专项整治建立一批系统化、常态化、可复制、可推广的制度成果。</w:t>
      </w:r>
    </w:p>
    <w:tbl>
      <w:tblPr>
        <w:tblStyle w:val="17"/>
        <w:tblW w:w="8300" w:type="dxa"/>
        <w:tblInd w:w="112" w:type="dxa"/>
        <w:tblLayout w:type="fixed"/>
        <w:tblCellMar>
          <w:top w:w="0" w:type="dxa"/>
          <w:left w:w="10" w:type="dxa"/>
          <w:bottom w:w="0" w:type="dxa"/>
          <w:right w:w="10" w:type="dxa"/>
        </w:tblCellMar>
      </w:tblPr>
      <w:tblGrid>
        <w:gridCol w:w="8300"/>
      </w:tblGrid>
      <w:tr>
        <w:tblPrEx>
          <w:tblCellMar>
            <w:top w:w="0" w:type="dxa"/>
            <w:left w:w="10" w:type="dxa"/>
            <w:bottom w:w="0" w:type="dxa"/>
            <w:right w:w="10" w:type="dxa"/>
          </w:tblCellMar>
        </w:tblPrEx>
        <w:trPr>
          <w:trHeight w:val="567" w:hRule="atLeast"/>
        </w:trPr>
        <w:tc>
          <w:tcPr>
            <w:tcW w:w="8300"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topLinePunct w:val="0"/>
              <w:bidi w:val="0"/>
              <w:spacing w:line="550" w:lineRule="exact"/>
              <w:jc w:val="center"/>
              <w:textAlignment w:val="auto"/>
              <w:rPr>
                <w:szCs w:val="22"/>
                <w:lang w:bidi="zh-CN"/>
              </w:rPr>
            </w:pPr>
            <w:r>
              <w:rPr>
                <w:rFonts w:hint="eastAsia" w:eastAsia="黑体"/>
                <w:sz w:val="28"/>
                <w:szCs w:val="28"/>
              </w:rPr>
              <w:t>专栏1</w:t>
            </w:r>
            <w:r>
              <w:rPr>
                <w:rFonts w:hint="eastAsia" w:eastAsia="黑体"/>
                <w:sz w:val="28"/>
                <w:szCs w:val="28"/>
                <w:lang w:val="en-US" w:eastAsia="zh-CN"/>
              </w:rPr>
              <w:t>3</w:t>
            </w:r>
            <w:r>
              <w:rPr>
                <w:rFonts w:hint="eastAsia" w:eastAsia="黑体"/>
                <w:sz w:val="28"/>
                <w:szCs w:val="28"/>
              </w:rPr>
              <w:t xml:space="preserve"> </w:t>
            </w:r>
            <w:r>
              <w:rPr>
                <w:rFonts w:hint="eastAsia" w:eastAsia="黑体"/>
                <w:sz w:val="28"/>
                <w:szCs w:val="28"/>
                <w:lang w:val="en-US" w:eastAsia="zh-CN"/>
              </w:rPr>
              <w:t xml:space="preserve"> </w:t>
            </w:r>
            <w:r>
              <w:rPr>
                <w:rFonts w:hint="eastAsia" w:eastAsia="黑体"/>
                <w:sz w:val="28"/>
                <w:szCs w:val="28"/>
              </w:rPr>
              <w:t>重点领域安全风险防控能力</w:t>
            </w:r>
          </w:p>
        </w:tc>
      </w:tr>
      <w:tr>
        <w:tblPrEx>
          <w:tblCellMar>
            <w:top w:w="0" w:type="dxa"/>
            <w:left w:w="10" w:type="dxa"/>
            <w:bottom w:w="0" w:type="dxa"/>
            <w:right w:w="10" w:type="dxa"/>
          </w:tblCellMar>
        </w:tblPrEx>
        <w:tc>
          <w:tcPr>
            <w:tcW w:w="83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0" w:firstLineChars="200"/>
              <w:rPr>
                <w:rFonts w:hint="eastAsia" w:ascii="楷体_GB2312" w:eastAsia="楷体_GB2312"/>
                <w:color w:val="auto"/>
                <w:sz w:val="24"/>
              </w:rPr>
            </w:pPr>
            <w:r>
              <w:rPr>
                <w:rFonts w:hint="eastAsia" w:ascii="楷体_GB2312" w:eastAsia="楷体_GB2312"/>
                <w:color w:val="auto"/>
                <w:sz w:val="24"/>
              </w:rPr>
              <w:t>1.到2025年，推进5个重点行业领域风险评估工作；</w:t>
            </w:r>
          </w:p>
          <w:p>
            <w:pPr>
              <w:spacing w:line="300" w:lineRule="auto"/>
              <w:ind w:firstLine="480" w:firstLineChars="200"/>
              <w:rPr>
                <w:rFonts w:ascii="楷体_GB2312" w:eastAsia="楷体_GB2312"/>
                <w:sz w:val="24"/>
              </w:rPr>
            </w:pPr>
            <w:r>
              <w:rPr>
                <w:rFonts w:hint="eastAsia" w:ascii="楷体_GB2312" w:eastAsia="楷体_GB2312"/>
                <w:color w:val="auto"/>
                <w:sz w:val="24"/>
              </w:rPr>
              <w:t>2.到2025年，推进</w:t>
            </w:r>
            <w:r>
              <w:rPr>
                <w:rFonts w:hint="eastAsia" w:ascii="楷体_GB2312" w:eastAsia="楷体_GB2312"/>
                <w:color w:val="auto"/>
                <w:sz w:val="24"/>
                <w:lang w:val="en-US" w:eastAsia="zh-CN"/>
              </w:rPr>
              <w:t>8</w:t>
            </w:r>
            <w:r>
              <w:rPr>
                <w:rFonts w:hint="eastAsia" w:ascii="楷体_GB2312" w:eastAsia="楷体_GB2312"/>
                <w:color w:val="auto"/>
                <w:sz w:val="24"/>
              </w:rPr>
              <w:t>个重点行业领域隐患排查治理；</w:t>
            </w:r>
          </w:p>
        </w:tc>
      </w:tr>
    </w:tbl>
    <w:p>
      <w:pPr>
        <w:pStyle w:val="4"/>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59" w:name="_Toc78467544"/>
      <w:bookmarkStart w:id="60" w:name="_Toc14502"/>
      <w:bookmarkStart w:id="61" w:name="_Toc40947964"/>
      <w:r>
        <w:rPr>
          <w:rFonts w:hint="eastAsia" w:ascii="Times New Roman" w:hAnsi="Times New Roman" w:cs="Times New Roman"/>
          <w:b w:val="0"/>
          <w:bCs w:val="0"/>
          <w:color w:val="auto"/>
          <w:kern w:val="2"/>
          <w:szCs w:val="30"/>
        </w:rPr>
        <w:t>（三）企业本质安全提升工程</w:t>
      </w:r>
      <w:bookmarkEnd w:id="59"/>
      <w:bookmarkEnd w:id="60"/>
    </w:p>
    <w:p>
      <w:pPr>
        <w:pageBreakBefore w:val="0"/>
        <w:widowControl w:val="0"/>
        <w:kinsoku/>
        <w:wordWrap/>
        <w:overflowPunct/>
        <w:topLinePunct w:val="0"/>
        <w:autoSpaceDE/>
        <w:autoSpaceDN/>
        <w:bidi w:val="0"/>
        <w:spacing w:line="560" w:lineRule="exact"/>
        <w:ind w:left="0" w:leftChars="0" w:firstLine="640" w:firstLineChars="200"/>
        <w:jc w:val="both"/>
        <w:textAlignment w:val="auto"/>
        <w:rPr>
          <w:color w:val="auto"/>
          <w:sz w:val="32"/>
          <w:szCs w:val="32"/>
        </w:rPr>
      </w:pPr>
      <w:r>
        <w:rPr>
          <w:rFonts w:hint="eastAsia"/>
          <w:color w:val="auto"/>
          <w:sz w:val="32"/>
          <w:szCs w:val="32"/>
        </w:rPr>
        <w:t>在危险化学品、建筑施工、冶金工贸、道路</w:t>
      </w:r>
      <w:r>
        <w:rPr>
          <w:color w:val="auto"/>
          <w:sz w:val="32"/>
          <w:szCs w:val="32"/>
        </w:rPr>
        <w:t>交通</w:t>
      </w:r>
      <w:r>
        <w:rPr>
          <w:rFonts w:hint="eastAsia"/>
          <w:color w:val="auto"/>
          <w:sz w:val="32"/>
          <w:szCs w:val="32"/>
        </w:rPr>
        <w:t>等</w:t>
      </w:r>
      <w:r>
        <w:rPr>
          <w:color w:val="auto"/>
          <w:sz w:val="32"/>
          <w:szCs w:val="32"/>
        </w:rPr>
        <w:t>重点行业</w:t>
      </w:r>
      <w:r>
        <w:rPr>
          <w:rFonts w:hint="eastAsia"/>
          <w:color w:val="auto"/>
          <w:sz w:val="32"/>
          <w:szCs w:val="32"/>
        </w:rPr>
        <w:t>领域</w:t>
      </w:r>
      <w:r>
        <w:rPr>
          <w:color w:val="auto"/>
          <w:sz w:val="32"/>
          <w:szCs w:val="32"/>
        </w:rPr>
        <w:t>编制企业安全生产主体责任落实和评估规范、服务流程、评估方法、评估模型等，完</w:t>
      </w:r>
      <w:r>
        <w:rPr>
          <w:rFonts w:hint="eastAsia" w:ascii="Times New Roman" w:hAnsi="Times New Roman" w:eastAsia="仿宋_GB2312" w:cs="宋体"/>
          <w:color w:val="000000"/>
          <w:sz w:val="32"/>
          <w:szCs w:val="32"/>
          <w:lang w:val="en-US" w:eastAsia="zh-CN" w:bidi="ar-SA"/>
        </w:rPr>
        <w:t>成5个及</w:t>
      </w:r>
      <w:r>
        <w:rPr>
          <w:rFonts w:hint="eastAsia"/>
          <w:color w:val="auto"/>
          <w:sz w:val="32"/>
          <w:szCs w:val="32"/>
        </w:rPr>
        <w:t>以上</w:t>
      </w:r>
      <w:r>
        <w:rPr>
          <w:color w:val="auto"/>
          <w:sz w:val="32"/>
          <w:szCs w:val="32"/>
        </w:rPr>
        <w:t>重点行业</w:t>
      </w:r>
      <w:r>
        <w:rPr>
          <w:rFonts w:hint="eastAsia"/>
          <w:color w:val="auto"/>
          <w:sz w:val="32"/>
          <w:szCs w:val="32"/>
        </w:rPr>
        <w:t>领域</w:t>
      </w:r>
      <w:r>
        <w:rPr>
          <w:color w:val="auto"/>
          <w:sz w:val="32"/>
          <w:szCs w:val="32"/>
        </w:rPr>
        <w:t>重点企业的安全生产主体责任落实评估</w:t>
      </w:r>
      <w:r>
        <w:rPr>
          <w:rFonts w:hint="eastAsia"/>
          <w:color w:val="auto"/>
          <w:sz w:val="32"/>
          <w:szCs w:val="32"/>
        </w:rPr>
        <w:t>工作</w:t>
      </w:r>
      <w:r>
        <w:rPr>
          <w:color w:val="auto"/>
          <w:sz w:val="32"/>
          <w:szCs w:val="32"/>
        </w:rPr>
        <w:t>。</w:t>
      </w:r>
      <w:r>
        <w:rPr>
          <w:rFonts w:hint="eastAsia"/>
          <w:color w:val="auto"/>
          <w:sz w:val="32"/>
          <w:szCs w:val="32"/>
        </w:rPr>
        <w:t>构建企业主体责任落实、中介机构技术服务以及政府执法实施的</w:t>
      </w:r>
      <w:r>
        <w:rPr>
          <w:color w:val="auto"/>
          <w:sz w:val="32"/>
          <w:szCs w:val="32"/>
        </w:rPr>
        <w:t>标准</w:t>
      </w:r>
      <w:r>
        <w:rPr>
          <w:rFonts w:hint="eastAsia"/>
          <w:color w:val="auto"/>
          <w:sz w:val="32"/>
          <w:szCs w:val="32"/>
        </w:rPr>
        <w:t>体系，建立企业自查分析、政府督责、第三方评责、工作成效检验的落实机制。推动</w:t>
      </w:r>
      <w:r>
        <w:rPr>
          <w:color w:val="auto"/>
          <w:sz w:val="32"/>
          <w:szCs w:val="32"/>
        </w:rPr>
        <w:t>企业</w:t>
      </w:r>
      <w:r>
        <w:rPr>
          <w:rFonts w:hint="eastAsia"/>
          <w:color w:val="auto"/>
          <w:sz w:val="32"/>
          <w:szCs w:val="32"/>
        </w:rPr>
        <w:t>开展以岗位达标、专业达标和标准化创建等为内容的安全生产标准化建设，建立完善安全生产例会、例检、隐患排查治理等各项安全生产制度和操作规程，落实强制性安全生产标准规范。鼓励企业加大安全投入，应用先进</w:t>
      </w:r>
      <w:r>
        <w:rPr>
          <w:color w:val="auto"/>
          <w:sz w:val="32"/>
          <w:szCs w:val="32"/>
        </w:rPr>
        <w:t>技术装备</w:t>
      </w:r>
      <w:r>
        <w:rPr>
          <w:rFonts w:hint="eastAsia"/>
          <w:color w:val="auto"/>
          <w:sz w:val="32"/>
          <w:szCs w:val="32"/>
        </w:rPr>
        <w:t>，实施智能化工厂、数字化车间示范项目，开展危险岗位的机器人替代，在关键风险位置实施机械化换人。</w:t>
      </w:r>
    </w:p>
    <w:tbl>
      <w:tblPr>
        <w:tblStyle w:val="17"/>
        <w:tblW w:w="8300" w:type="dxa"/>
        <w:tblInd w:w="112" w:type="dxa"/>
        <w:tblLayout w:type="fixed"/>
        <w:tblCellMar>
          <w:top w:w="0" w:type="dxa"/>
          <w:left w:w="10" w:type="dxa"/>
          <w:bottom w:w="0" w:type="dxa"/>
          <w:right w:w="10" w:type="dxa"/>
        </w:tblCellMar>
      </w:tblPr>
      <w:tblGrid>
        <w:gridCol w:w="8300"/>
      </w:tblGrid>
      <w:tr>
        <w:tblPrEx>
          <w:tblCellMar>
            <w:top w:w="0" w:type="dxa"/>
            <w:left w:w="10" w:type="dxa"/>
            <w:bottom w:w="0" w:type="dxa"/>
            <w:right w:w="10" w:type="dxa"/>
          </w:tblCellMar>
        </w:tblPrEx>
        <w:trPr>
          <w:trHeight w:val="567" w:hRule="atLeast"/>
        </w:trPr>
        <w:tc>
          <w:tcPr>
            <w:tcW w:w="8300"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topLinePunct w:val="0"/>
              <w:bidi w:val="0"/>
              <w:spacing w:line="550" w:lineRule="exact"/>
              <w:jc w:val="center"/>
              <w:textAlignment w:val="auto"/>
              <w:rPr>
                <w:szCs w:val="22"/>
                <w:lang w:bidi="zh-CN"/>
              </w:rPr>
            </w:pPr>
            <w:r>
              <w:rPr>
                <w:rFonts w:hint="eastAsia" w:eastAsia="黑体"/>
                <w:sz w:val="28"/>
                <w:szCs w:val="28"/>
              </w:rPr>
              <w:t>专栏</w:t>
            </w:r>
            <w:r>
              <w:rPr>
                <w:rFonts w:eastAsia="黑体"/>
                <w:sz w:val="28"/>
                <w:szCs w:val="28"/>
              </w:rPr>
              <w:t>1</w:t>
            </w:r>
            <w:r>
              <w:rPr>
                <w:rFonts w:hint="eastAsia" w:eastAsia="黑体"/>
                <w:sz w:val="28"/>
                <w:szCs w:val="28"/>
                <w:lang w:val="en-US" w:eastAsia="zh-CN"/>
              </w:rPr>
              <w:t xml:space="preserve">4 </w:t>
            </w:r>
            <w:r>
              <w:rPr>
                <w:rFonts w:hint="eastAsia" w:eastAsia="黑体"/>
                <w:sz w:val="28"/>
                <w:szCs w:val="28"/>
              </w:rPr>
              <w:t>安全生产主体责任落实评估工作</w:t>
            </w:r>
          </w:p>
        </w:tc>
      </w:tr>
      <w:tr>
        <w:tblPrEx>
          <w:tblCellMar>
            <w:top w:w="0" w:type="dxa"/>
            <w:left w:w="10" w:type="dxa"/>
            <w:bottom w:w="0" w:type="dxa"/>
            <w:right w:w="10" w:type="dxa"/>
          </w:tblCellMar>
        </w:tblPrEx>
        <w:tc>
          <w:tcPr>
            <w:tcW w:w="83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ageBreakBefore w:val="0"/>
              <w:kinsoku/>
              <w:wordWrap/>
              <w:topLinePunct w:val="0"/>
              <w:bidi w:val="0"/>
              <w:spacing w:line="550" w:lineRule="exact"/>
              <w:ind w:firstLine="480" w:firstLineChars="200"/>
              <w:jc w:val="both"/>
              <w:textAlignment w:val="auto"/>
              <w:rPr>
                <w:sz w:val="24"/>
              </w:rPr>
            </w:pPr>
            <w:r>
              <w:rPr>
                <w:rFonts w:hint="eastAsia" w:ascii="楷体_GB2312" w:eastAsia="楷体_GB2312"/>
                <w:color w:val="auto"/>
                <w:sz w:val="24"/>
              </w:rPr>
              <w:t>到2025年，完成</w:t>
            </w:r>
            <w:r>
              <w:rPr>
                <w:rFonts w:hint="eastAsia" w:ascii="楷体_GB2312" w:eastAsia="楷体_GB2312"/>
                <w:color w:val="auto"/>
                <w:sz w:val="24"/>
                <w:lang w:val="en-US" w:eastAsia="zh-CN"/>
              </w:rPr>
              <w:t>5</w:t>
            </w:r>
            <w:r>
              <w:rPr>
                <w:rFonts w:hint="eastAsia" w:ascii="楷体_GB2312" w:eastAsia="楷体_GB2312"/>
                <w:color w:val="auto"/>
                <w:sz w:val="24"/>
              </w:rPr>
              <w:t>个及以上重点行业领域重点企业的安全生产主体责任落实评估工作。</w:t>
            </w:r>
          </w:p>
        </w:tc>
      </w:tr>
    </w:tbl>
    <w:p>
      <w:pPr>
        <w:pStyle w:val="4"/>
        <w:pageBreakBefore w:val="0"/>
        <w:widowControl w:val="0"/>
        <w:kinsoku/>
        <w:wordWrap/>
        <w:overflowPunct/>
        <w:topLinePunct w:val="0"/>
        <w:bidi w:val="0"/>
        <w:adjustRightInd w:val="0"/>
        <w:snapToGrid w:val="0"/>
        <w:spacing w:beforeLines="0" w:afterLines="0" w:line="560" w:lineRule="exact"/>
        <w:ind w:left="0" w:leftChars="0" w:firstLine="640" w:firstLineChars="200"/>
        <w:jc w:val="both"/>
        <w:textAlignment w:val="auto"/>
        <w:rPr>
          <w:rFonts w:ascii="Times New Roman" w:hAnsi="Times New Roman" w:cs="Times New Roman"/>
          <w:b w:val="0"/>
          <w:bCs w:val="0"/>
          <w:color w:val="auto"/>
          <w:kern w:val="2"/>
          <w:szCs w:val="30"/>
        </w:rPr>
      </w:pPr>
      <w:bookmarkStart w:id="62" w:name="_Toc78467546"/>
      <w:bookmarkStart w:id="63" w:name="_Toc27502"/>
      <w:r>
        <w:rPr>
          <w:rFonts w:hint="eastAsia" w:ascii="Times New Roman" w:hAnsi="Times New Roman" w:cs="Times New Roman"/>
          <w:b w:val="0"/>
          <w:bCs w:val="0"/>
          <w:color w:val="auto"/>
          <w:kern w:val="2"/>
          <w:szCs w:val="30"/>
        </w:rPr>
        <w:t>（</w:t>
      </w:r>
      <w:r>
        <w:rPr>
          <w:rFonts w:hint="eastAsia" w:ascii="Times New Roman" w:hAnsi="Times New Roman" w:cs="Times New Roman"/>
          <w:b w:val="0"/>
          <w:bCs w:val="0"/>
          <w:color w:val="auto"/>
          <w:kern w:val="2"/>
          <w:szCs w:val="30"/>
          <w:lang w:eastAsia="zh-CN"/>
        </w:rPr>
        <w:t>四</w:t>
      </w:r>
      <w:r>
        <w:rPr>
          <w:rFonts w:hint="eastAsia" w:ascii="Times New Roman" w:hAnsi="Times New Roman" w:cs="Times New Roman"/>
          <w:b w:val="0"/>
          <w:bCs w:val="0"/>
          <w:color w:val="auto"/>
          <w:kern w:val="2"/>
          <w:szCs w:val="30"/>
        </w:rPr>
        <w:t>）安全生产</w:t>
      </w:r>
      <w:r>
        <w:rPr>
          <w:rFonts w:ascii="Times New Roman" w:hAnsi="Times New Roman" w:cs="Times New Roman"/>
          <w:b w:val="0"/>
          <w:bCs w:val="0"/>
          <w:color w:val="auto"/>
          <w:kern w:val="2"/>
          <w:szCs w:val="30"/>
        </w:rPr>
        <w:t>信息技术</w:t>
      </w:r>
      <w:r>
        <w:rPr>
          <w:rFonts w:hint="eastAsia" w:ascii="Times New Roman" w:hAnsi="Times New Roman" w:cs="Times New Roman"/>
          <w:b w:val="0"/>
          <w:bCs w:val="0"/>
          <w:color w:val="auto"/>
          <w:kern w:val="2"/>
          <w:szCs w:val="30"/>
        </w:rPr>
        <w:t>支撑工程</w:t>
      </w:r>
      <w:bookmarkEnd w:id="62"/>
      <w:bookmarkEnd w:id="63"/>
    </w:p>
    <w:p>
      <w:pPr>
        <w:pageBreakBefore w:val="0"/>
        <w:widowControl w:val="0"/>
        <w:kinsoku/>
        <w:wordWrap/>
        <w:overflowPunct/>
        <w:topLinePunct w:val="0"/>
        <w:bidi w:val="0"/>
        <w:spacing w:line="560" w:lineRule="exact"/>
        <w:ind w:left="0" w:leftChars="0" w:firstLine="640" w:firstLineChars="200"/>
        <w:jc w:val="both"/>
        <w:textAlignment w:val="auto"/>
        <w:rPr>
          <w:color w:val="auto"/>
          <w:sz w:val="32"/>
          <w:szCs w:val="32"/>
        </w:rPr>
      </w:pPr>
      <w:r>
        <w:rPr>
          <w:rFonts w:hint="eastAsia"/>
          <w:color w:val="auto"/>
          <w:sz w:val="32"/>
          <w:szCs w:val="32"/>
        </w:rPr>
        <w:t>提升现代信息技术与安全生产融合度，构建全</w:t>
      </w:r>
      <w:r>
        <w:rPr>
          <w:rFonts w:hint="eastAsia"/>
          <w:color w:val="auto"/>
          <w:sz w:val="32"/>
          <w:szCs w:val="32"/>
          <w:lang w:eastAsia="zh-CN"/>
        </w:rPr>
        <w:t>区</w:t>
      </w:r>
      <w:r>
        <w:rPr>
          <w:rFonts w:hint="eastAsia"/>
          <w:color w:val="auto"/>
          <w:sz w:val="32"/>
          <w:szCs w:val="32"/>
        </w:rPr>
        <w:t>安全生产“一张图”“一张网”，建成跨部门、跨层级、跨网络，集业务协同、信息共享等功能于一体的安全</w:t>
      </w:r>
      <w:r>
        <w:rPr>
          <w:color w:val="auto"/>
          <w:sz w:val="32"/>
          <w:szCs w:val="32"/>
        </w:rPr>
        <w:t>生产</w:t>
      </w:r>
      <w:r>
        <w:rPr>
          <w:rFonts w:hint="eastAsia"/>
          <w:color w:val="auto"/>
          <w:sz w:val="32"/>
          <w:szCs w:val="32"/>
        </w:rPr>
        <w:t>综合监管平台，实现安全生产全过程信息化管理。整合企业安全生产感知网络，推动危险化学品、烟花爆竹等风险隐患感知数据接入，强化企业安全风险管控。以风险分级管控、隐患排查治理、重大危险源监控为主要内容，建立完善安全生产大数据库，开展安全生产规律性、关联性特征分析，提高安全生产决策科学化水平。</w:t>
      </w:r>
    </w:p>
    <w:p>
      <w:pPr>
        <w:pageBreakBefore w:val="0"/>
        <w:widowControl w:val="0"/>
        <w:kinsoku/>
        <w:wordWrap/>
        <w:overflowPunct/>
        <w:topLinePunct w:val="0"/>
        <w:bidi w:val="0"/>
        <w:spacing w:line="560" w:lineRule="exact"/>
        <w:ind w:left="0" w:leftChars="0" w:firstLine="640" w:firstLineChars="200"/>
        <w:jc w:val="both"/>
        <w:textAlignment w:val="auto"/>
        <w:rPr>
          <w:color w:val="auto"/>
          <w:sz w:val="32"/>
          <w:szCs w:val="32"/>
        </w:rPr>
      </w:pPr>
      <w:r>
        <w:rPr>
          <w:rFonts w:hint="eastAsia"/>
          <w:color w:val="auto"/>
          <w:sz w:val="32"/>
          <w:szCs w:val="32"/>
        </w:rPr>
        <w:t>鼓励和支持一批安全</w:t>
      </w:r>
      <w:r>
        <w:rPr>
          <w:rFonts w:hint="eastAsia"/>
          <w:color w:val="auto"/>
          <w:sz w:val="32"/>
          <w:szCs w:val="32"/>
          <w:lang w:eastAsia="zh-CN"/>
        </w:rPr>
        <w:t>生产和</w:t>
      </w:r>
      <w:r>
        <w:rPr>
          <w:rFonts w:hint="eastAsia"/>
          <w:color w:val="auto"/>
          <w:sz w:val="32"/>
          <w:szCs w:val="32"/>
        </w:rPr>
        <w:t>应急</w:t>
      </w:r>
      <w:r>
        <w:rPr>
          <w:rFonts w:hint="eastAsia"/>
          <w:color w:val="auto"/>
          <w:sz w:val="32"/>
          <w:szCs w:val="32"/>
          <w:lang w:eastAsia="zh-CN"/>
        </w:rPr>
        <w:t>管理</w:t>
      </w:r>
      <w:r>
        <w:rPr>
          <w:rFonts w:hint="eastAsia"/>
          <w:color w:val="auto"/>
          <w:sz w:val="32"/>
          <w:szCs w:val="32"/>
        </w:rPr>
        <w:t>领域重点课题研究项目建设，包括对危险化学品使用运输、城市管网等安全生产专项领域开展新兴技术应用研究，由</w:t>
      </w:r>
      <w:r>
        <w:rPr>
          <w:rFonts w:hint="eastAsia"/>
          <w:color w:val="auto"/>
          <w:sz w:val="32"/>
          <w:szCs w:val="32"/>
          <w:lang w:eastAsia="zh-CN"/>
        </w:rPr>
        <w:t>区</w:t>
      </w:r>
      <w:r>
        <w:rPr>
          <w:rFonts w:hint="eastAsia"/>
          <w:color w:val="auto"/>
          <w:sz w:val="32"/>
          <w:szCs w:val="32"/>
        </w:rPr>
        <w:t>政府给予一定的政策和资金支持。</w:t>
      </w:r>
    </w:p>
    <w:p>
      <w:pPr>
        <w:pStyle w:val="4"/>
        <w:pageBreakBefore w:val="0"/>
        <w:widowControl w:val="0"/>
        <w:kinsoku/>
        <w:wordWrap/>
        <w:overflowPunct/>
        <w:topLinePunct w:val="0"/>
        <w:bidi w:val="0"/>
        <w:adjustRightInd w:val="0"/>
        <w:snapToGrid w:val="0"/>
        <w:spacing w:beforeLines="0" w:afterLines="0" w:line="560" w:lineRule="exact"/>
        <w:ind w:left="0" w:leftChars="0" w:firstLine="640" w:firstLineChars="200"/>
        <w:jc w:val="both"/>
        <w:textAlignment w:val="auto"/>
        <w:rPr>
          <w:rFonts w:hint="eastAsia" w:ascii="Times New Roman" w:hAnsi="Times New Roman" w:eastAsia="楷体_GB2312" w:cs="Times New Roman"/>
          <w:b w:val="0"/>
          <w:bCs w:val="0"/>
          <w:color w:val="auto"/>
          <w:kern w:val="2"/>
          <w:szCs w:val="30"/>
          <w:lang w:eastAsia="zh-CN"/>
        </w:rPr>
      </w:pPr>
      <w:bookmarkStart w:id="64" w:name="_Toc29888"/>
      <w:bookmarkStart w:id="65" w:name="_Toc9244"/>
      <w:bookmarkStart w:id="66" w:name="_Toc67420525"/>
      <w:bookmarkStart w:id="67" w:name="_Toc67415095"/>
      <w:bookmarkStart w:id="68" w:name="_Toc78467547"/>
      <w:bookmarkStart w:id="69" w:name="_Toc67415053"/>
      <w:bookmarkStart w:id="70" w:name="_Toc26590"/>
      <w:bookmarkStart w:id="71" w:name="_Toc67414762"/>
      <w:bookmarkStart w:id="72" w:name="_Toc26106"/>
      <w:bookmarkStart w:id="73" w:name="_Toc15260"/>
      <w:r>
        <w:rPr>
          <w:rFonts w:hint="eastAsia" w:ascii="Times New Roman" w:hAnsi="Times New Roman" w:cs="Times New Roman"/>
          <w:b w:val="0"/>
          <w:bCs w:val="0"/>
          <w:color w:val="auto"/>
          <w:kern w:val="2"/>
          <w:szCs w:val="30"/>
        </w:rPr>
        <w:t>（</w:t>
      </w:r>
      <w:r>
        <w:rPr>
          <w:rFonts w:hint="eastAsia" w:ascii="Times New Roman" w:hAnsi="Times New Roman" w:cs="Times New Roman"/>
          <w:b w:val="0"/>
          <w:bCs w:val="0"/>
          <w:color w:val="auto"/>
          <w:kern w:val="2"/>
          <w:szCs w:val="30"/>
          <w:lang w:eastAsia="zh-CN"/>
        </w:rPr>
        <w:t>五</w:t>
      </w:r>
      <w:r>
        <w:rPr>
          <w:rFonts w:hint="eastAsia" w:ascii="Times New Roman" w:hAnsi="Times New Roman" w:cs="Times New Roman"/>
          <w:b w:val="0"/>
          <w:bCs w:val="0"/>
          <w:color w:val="auto"/>
          <w:kern w:val="2"/>
          <w:szCs w:val="30"/>
        </w:rPr>
        <w:t>）全民安全教育</w:t>
      </w:r>
      <w:bookmarkEnd w:id="64"/>
      <w:bookmarkEnd w:id="65"/>
      <w:bookmarkEnd w:id="66"/>
      <w:bookmarkEnd w:id="67"/>
      <w:bookmarkEnd w:id="68"/>
      <w:bookmarkEnd w:id="69"/>
      <w:bookmarkEnd w:id="70"/>
      <w:bookmarkEnd w:id="71"/>
      <w:bookmarkEnd w:id="72"/>
      <w:r>
        <w:rPr>
          <w:rFonts w:hint="eastAsia" w:ascii="Times New Roman" w:hAnsi="Times New Roman" w:cs="Times New Roman"/>
          <w:b w:val="0"/>
          <w:bCs w:val="0"/>
          <w:color w:val="auto"/>
          <w:kern w:val="2"/>
          <w:szCs w:val="30"/>
          <w:lang w:eastAsia="zh-CN"/>
        </w:rPr>
        <w:t>普及工程</w:t>
      </w:r>
      <w:bookmarkEnd w:id="73"/>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color w:val="auto"/>
          <w:sz w:val="32"/>
          <w:szCs w:val="32"/>
        </w:rPr>
      </w:pPr>
      <w:r>
        <w:rPr>
          <w:rFonts w:hint="eastAsia" w:ascii="Times New Roman" w:hAnsi="Times New Roman" w:eastAsia="仿宋_GB2312" w:cs="仿宋_GB2312"/>
          <w:sz w:val="32"/>
          <w:szCs w:val="32"/>
          <w:lang w:val="en-US" w:eastAsia="zh-CN"/>
        </w:rPr>
        <w:t>培育企业安全文化，引导开展安全文化示范企业创建，督促企业建立上至主要负责人下至一线从业人员的全员安全生产教育培训体制机制，特别是加强高危行业从业人员岗前、岗中教育培训常态化全覆盖，安全培训100%达标</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加大安全宣传投入，通过传统媒体、公益宣传、“三微一端”、“政府云课堂”等多渠道、多形式开展安全宣传教育，推动安全宣传进企业、进社区、进学校、进机关、进家庭，建立“安全生产+”宣传模式，在开展各类各项宣传过程中必须同步宣传安全生产，必须有安全生产元素</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lang w:val="en-US" w:eastAsia="zh-CN"/>
        </w:rPr>
        <w:t>注重发挥群众在发现安全隐患或非法违法行为中的作用，鼓励引导社区居民开展风险隐患排查和治理，推进安全生产专群结合、群防群治，形成全社会关爱生命、关注安全的氛围</w:t>
      </w:r>
      <w:r>
        <w:rPr>
          <w:rFonts w:hint="eastAsia" w:ascii="Times New Roman" w:hAnsi="Times New Roman" w:cs="仿宋_GB2312"/>
          <w:sz w:val="32"/>
          <w:szCs w:val="32"/>
          <w:lang w:val="en-US" w:eastAsia="zh-CN"/>
        </w:rPr>
        <w:t>。</w:t>
      </w:r>
      <w:r>
        <w:rPr>
          <w:rFonts w:hint="eastAsia"/>
          <w:color w:val="auto"/>
          <w:sz w:val="32"/>
          <w:szCs w:val="32"/>
        </w:rPr>
        <w:t>加快推进</w:t>
      </w:r>
      <w:r>
        <w:rPr>
          <w:rFonts w:hint="eastAsia"/>
          <w:color w:val="auto"/>
          <w:sz w:val="32"/>
          <w:szCs w:val="32"/>
          <w:lang w:eastAsia="zh-CN"/>
        </w:rPr>
        <w:t>核知识科普馆</w:t>
      </w:r>
      <w:r>
        <w:rPr>
          <w:rFonts w:hint="eastAsia"/>
          <w:color w:val="auto"/>
          <w:sz w:val="32"/>
          <w:szCs w:val="32"/>
        </w:rPr>
        <w:t>建设，完善警示教育和伤害体验</w:t>
      </w:r>
      <w:r>
        <w:rPr>
          <w:rFonts w:hint="eastAsia"/>
          <w:color w:val="auto"/>
          <w:sz w:val="32"/>
          <w:szCs w:val="32"/>
          <w:lang w:eastAsia="zh-CN"/>
        </w:rPr>
        <w:t>等</w:t>
      </w:r>
      <w:r>
        <w:rPr>
          <w:rFonts w:hint="eastAsia"/>
          <w:color w:val="auto"/>
          <w:sz w:val="32"/>
          <w:szCs w:val="32"/>
        </w:rPr>
        <w:t>功能</w:t>
      </w:r>
      <w:r>
        <w:rPr>
          <w:rFonts w:hint="eastAsia"/>
          <w:color w:val="auto"/>
          <w:sz w:val="32"/>
          <w:szCs w:val="32"/>
          <w:lang w:eastAsia="zh-CN"/>
        </w:rPr>
        <w:t>，</w:t>
      </w:r>
      <w:r>
        <w:rPr>
          <w:color w:val="auto"/>
          <w:sz w:val="32"/>
          <w:szCs w:val="32"/>
        </w:rPr>
        <w:t>为</w:t>
      </w:r>
      <w:r>
        <w:rPr>
          <w:rFonts w:hint="eastAsia"/>
          <w:color w:val="auto"/>
          <w:sz w:val="32"/>
          <w:szCs w:val="32"/>
        </w:rPr>
        <w:t>企业员工、安全监管人员、中小学生、市民等提供相应的</w:t>
      </w:r>
      <w:r>
        <w:rPr>
          <w:rFonts w:hint="eastAsia"/>
          <w:color w:val="auto"/>
          <w:sz w:val="32"/>
          <w:szCs w:val="32"/>
          <w:lang w:eastAsia="zh-CN"/>
        </w:rPr>
        <w:t>宣传教育培训、</w:t>
      </w:r>
      <w:r>
        <w:rPr>
          <w:rFonts w:hint="eastAsia"/>
          <w:color w:val="auto"/>
          <w:sz w:val="32"/>
          <w:szCs w:val="32"/>
        </w:rPr>
        <w:t>演习演练服务、网络课程、中小学生安全营、居民安全教育体验等服务。</w:t>
      </w:r>
    </w:p>
    <w:p>
      <w:pPr>
        <w:pStyle w:val="4"/>
        <w:pageBreakBefore w:val="0"/>
        <w:widowControl w:val="0"/>
        <w:kinsoku/>
        <w:wordWrap/>
        <w:overflowPunct/>
        <w:topLinePunct w:val="0"/>
        <w:bidi w:val="0"/>
        <w:adjustRightInd w:val="0"/>
        <w:snapToGrid w:val="0"/>
        <w:spacing w:beforeLines="0" w:afterLines="0" w:line="560" w:lineRule="exact"/>
        <w:ind w:left="0" w:leftChars="0" w:firstLine="640" w:firstLineChars="200"/>
        <w:jc w:val="both"/>
        <w:textAlignment w:val="auto"/>
        <w:rPr>
          <w:rFonts w:ascii="Times New Roman" w:hAnsi="Times New Roman" w:eastAsia="楷体_GB2312"/>
          <w:b w:val="0"/>
          <w:bCs w:val="0"/>
          <w:kern w:val="2"/>
          <w:szCs w:val="30"/>
        </w:rPr>
      </w:pPr>
      <w:bookmarkStart w:id="74" w:name="_Toc32689"/>
      <w:r>
        <w:rPr>
          <w:rFonts w:hint="eastAsia" w:ascii="Times New Roman" w:hAnsi="Times New Roman"/>
          <w:b w:val="0"/>
          <w:bCs w:val="0"/>
          <w:kern w:val="2"/>
          <w:szCs w:val="30"/>
          <w:lang w:eastAsia="zh-CN"/>
        </w:rPr>
        <w:t>（六）</w:t>
      </w:r>
      <w:r>
        <w:rPr>
          <w:rFonts w:hint="eastAsia" w:ascii="Times New Roman" w:hAnsi="Times New Roman" w:eastAsia="楷体_GB2312"/>
          <w:b w:val="0"/>
          <w:bCs w:val="0"/>
          <w:kern w:val="2"/>
          <w:szCs w:val="30"/>
        </w:rPr>
        <w:t>应急指挥</w:t>
      </w:r>
      <w:r>
        <w:rPr>
          <w:rFonts w:ascii="Times New Roman" w:hAnsi="Times New Roman" w:eastAsia="楷体_GB2312"/>
          <w:b w:val="0"/>
          <w:bCs w:val="0"/>
          <w:kern w:val="2"/>
          <w:szCs w:val="30"/>
        </w:rPr>
        <w:t>体系</w:t>
      </w:r>
      <w:r>
        <w:rPr>
          <w:rFonts w:hint="eastAsia" w:ascii="Times New Roman" w:hAnsi="Times New Roman" w:eastAsia="楷体_GB2312"/>
          <w:b w:val="0"/>
          <w:bCs w:val="0"/>
          <w:kern w:val="2"/>
          <w:szCs w:val="30"/>
        </w:rPr>
        <w:t>建设工程</w:t>
      </w:r>
      <w:bookmarkEnd w:id="74"/>
    </w:p>
    <w:p>
      <w:pPr>
        <w:pageBreakBefore w:val="0"/>
        <w:widowControl w:val="0"/>
        <w:kinsoku/>
        <w:wordWrap/>
        <w:overflowPunct/>
        <w:topLinePunct w:val="0"/>
        <w:bidi w:val="0"/>
        <w:spacing w:line="560"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rPr>
        <w:t>结合连云</w:t>
      </w:r>
      <w:r>
        <w:rPr>
          <w:rFonts w:hint="eastAsia"/>
          <w:sz w:val="32"/>
          <w:szCs w:val="32"/>
          <w:lang w:eastAsia="zh-CN"/>
        </w:rPr>
        <w:t>区</w:t>
      </w:r>
      <w:r>
        <w:rPr>
          <w:rFonts w:hint="eastAsia" w:ascii="仿宋_GB2312" w:eastAsia="仿宋_GB2312"/>
          <w:sz w:val="32"/>
          <w:szCs w:val="32"/>
        </w:rPr>
        <w:t>自身特点和现有资源，以“纵向贯通、横向互联、科学指挥、高效运转”为目标，建设</w:t>
      </w:r>
      <w:r>
        <w:rPr>
          <w:rFonts w:hint="eastAsia"/>
          <w:sz w:val="32"/>
          <w:szCs w:val="32"/>
          <w:lang w:eastAsia="zh-CN"/>
        </w:rPr>
        <w:t>区</w:t>
      </w:r>
      <w:r>
        <w:rPr>
          <w:rFonts w:hint="eastAsia" w:ascii="仿宋_GB2312" w:eastAsia="仿宋_GB2312"/>
          <w:sz w:val="32"/>
          <w:szCs w:val="32"/>
        </w:rPr>
        <w:t>应急指挥中</w:t>
      </w:r>
      <w:r>
        <w:rPr>
          <w:rFonts w:hint="eastAsia"/>
          <w:sz w:val="32"/>
          <w:szCs w:val="32"/>
          <w:lang w:eastAsia="zh-CN"/>
        </w:rPr>
        <w:t>心</w:t>
      </w:r>
      <w:r>
        <w:rPr>
          <w:rFonts w:hint="eastAsia" w:ascii="仿宋_GB2312" w:eastAsia="仿宋_GB2312"/>
          <w:sz w:val="32"/>
          <w:szCs w:val="32"/>
        </w:rPr>
        <w:t>及配套支撑系统，作为平时值班值守、战时应急指挥的最重要的核心载体；建设移动指挥系统，配</w:t>
      </w:r>
      <w:r>
        <w:rPr>
          <w:rFonts w:hint="eastAsia" w:ascii="Times New Roman" w:hAnsi="Times New Roman" w:eastAsia="仿宋_GB2312"/>
          <w:sz w:val="32"/>
          <w:szCs w:val="32"/>
        </w:rPr>
        <w:t>备</w:t>
      </w:r>
      <w:r>
        <w:rPr>
          <w:rFonts w:ascii="Times New Roman" w:hAnsi="Times New Roman" w:eastAsia="仿宋_GB2312"/>
          <w:sz w:val="32"/>
          <w:szCs w:val="32"/>
        </w:rPr>
        <w:t>1</w:t>
      </w:r>
      <w:r>
        <w:rPr>
          <w:rFonts w:hint="eastAsia" w:ascii="Times New Roman" w:hAnsi="Times New Roman" w:eastAsia="仿宋_GB2312"/>
          <w:sz w:val="32"/>
          <w:szCs w:val="32"/>
        </w:rPr>
        <w:t>辆以上</w:t>
      </w:r>
      <w:r>
        <w:rPr>
          <w:rFonts w:hint="eastAsia" w:ascii="仿宋_GB2312" w:eastAsia="仿宋_GB2312"/>
          <w:sz w:val="32"/>
          <w:szCs w:val="32"/>
        </w:rPr>
        <w:t>移动指挥车及车载信息化系统。指挥</w:t>
      </w:r>
      <w:r>
        <w:rPr>
          <w:rFonts w:ascii="仿宋_GB2312" w:eastAsia="仿宋_GB2312"/>
          <w:sz w:val="32"/>
          <w:szCs w:val="32"/>
        </w:rPr>
        <w:t>中心</w:t>
      </w:r>
      <w:r>
        <w:rPr>
          <w:rFonts w:hint="eastAsia" w:ascii="仿宋_GB2312" w:eastAsia="仿宋_GB2312"/>
          <w:sz w:val="32"/>
          <w:szCs w:val="32"/>
        </w:rPr>
        <w:t>作为“指挥处置枢纽”和“权威信息枢纽”，平时用于日常事务处理，战时用于突发事件处置。实现与市</w:t>
      </w:r>
      <w:r>
        <w:rPr>
          <w:rFonts w:ascii="仿宋_GB2312" w:eastAsia="仿宋_GB2312"/>
          <w:sz w:val="32"/>
          <w:szCs w:val="32"/>
        </w:rPr>
        <w:t>、</w:t>
      </w:r>
      <w:r>
        <w:rPr>
          <w:rFonts w:hint="eastAsia"/>
          <w:sz w:val="32"/>
          <w:szCs w:val="32"/>
          <w:lang w:eastAsia="zh-CN"/>
        </w:rPr>
        <w:t>区、乡街三级</w:t>
      </w:r>
      <w:r>
        <w:rPr>
          <w:rFonts w:hint="eastAsia" w:ascii="仿宋_GB2312" w:eastAsia="仿宋_GB2312"/>
          <w:sz w:val="32"/>
          <w:szCs w:val="32"/>
        </w:rPr>
        <w:t>指挥中心互联互通、实时连线。</w:t>
      </w:r>
    </w:p>
    <w:tbl>
      <w:tblPr>
        <w:tblStyle w:val="17"/>
        <w:tblW w:w="8300" w:type="dxa"/>
        <w:tblInd w:w="112" w:type="dxa"/>
        <w:tblLayout w:type="fixed"/>
        <w:tblCellMar>
          <w:top w:w="0" w:type="dxa"/>
          <w:left w:w="10" w:type="dxa"/>
          <w:bottom w:w="0" w:type="dxa"/>
          <w:right w:w="10" w:type="dxa"/>
        </w:tblCellMar>
      </w:tblPr>
      <w:tblGrid>
        <w:gridCol w:w="8300"/>
      </w:tblGrid>
      <w:tr>
        <w:tblPrEx>
          <w:tblCellMar>
            <w:top w:w="0" w:type="dxa"/>
            <w:left w:w="10" w:type="dxa"/>
            <w:bottom w:w="0" w:type="dxa"/>
            <w:right w:w="10" w:type="dxa"/>
          </w:tblCellMar>
        </w:tblPrEx>
        <w:trPr>
          <w:trHeight w:val="567" w:hRule="atLeast"/>
        </w:trPr>
        <w:tc>
          <w:tcPr>
            <w:tcW w:w="8300"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topLinePunct w:val="0"/>
              <w:bidi w:val="0"/>
              <w:spacing w:line="550" w:lineRule="exact"/>
              <w:jc w:val="center"/>
              <w:textAlignment w:val="auto"/>
              <w:rPr>
                <w:kern w:val="0"/>
                <w:lang w:bidi="zh-CN"/>
              </w:rPr>
            </w:pPr>
            <w:r>
              <w:rPr>
                <w:rFonts w:eastAsia="黑体"/>
                <w:sz w:val="28"/>
                <w:szCs w:val="28"/>
              </w:rPr>
              <w:t xml:space="preserve">专栏 </w:t>
            </w:r>
            <w:r>
              <w:rPr>
                <w:rFonts w:hint="eastAsia" w:eastAsia="黑体"/>
                <w:sz w:val="28"/>
                <w:szCs w:val="28"/>
                <w:lang w:val="en-US" w:eastAsia="zh-CN"/>
              </w:rPr>
              <w:t xml:space="preserve">15  </w:t>
            </w:r>
            <w:r>
              <w:rPr>
                <w:rFonts w:hint="eastAsia" w:eastAsia="黑体"/>
                <w:sz w:val="28"/>
                <w:szCs w:val="28"/>
              </w:rPr>
              <w:t>应急</w:t>
            </w:r>
            <w:r>
              <w:rPr>
                <w:rFonts w:eastAsia="黑体"/>
                <w:sz w:val="28"/>
                <w:szCs w:val="28"/>
              </w:rPr>
              <w:t>指挥</w:t>
            </w:r>
            <w:r>
              <w:rPr>
                <w:rFonts w:hint="eastAsia" w:eastAsia="黑体"/>
                <w:sz w:val="28"/>
                <w:szCs w:val="28"/>
              </w:rPr>
              <w:t>中心</w:t>
            </w:r>
            <w:r>
              <w:rPr>
                <w:rFonts w:eastAsia="黑体"/>
                <w:sz w:val="28"/>
                <w:szCs w:val="28"/>
              </w:rPr>
              <w:t>建设</w:t>
            </w:r>
            <w:r>
              <w:rPr>
                <w:rFonts w:hint="eastAsia" w:eastAsia="黑体"/>
                <w:sz w:val="28"/>
                <w:szCs w:val="28"/>
              </w:rPr>
              <w:t>工程</w:t>
            </w:r>
          </w:p>
        </w:tc>
      </w:tr>
      <w:tr>
        <w:tblPrEx>
          <w:tblCellMar>
            <w:top w:w="0" w:type="dxa"/>
            <w:left w:w="10" w:type="dxa"/>
            <w:bottom w:w="0" w:type="dxa"/>
            <w:right w:w="10" w:type="dxa"/>
          </w:tblCellMar>
        </w:tblPrEx>
        <w:tc>
          <w:tcPr>
            <w:tcW w:w="83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2" w:firstLineChars="200"/>
              <w:rPr>
                <w:rFonts w:hint="default" w:ascii="楷体_GB2312" w:eastAsia="楷体_GB2312"/>
                <w:color w:val="auto"/>
                <w:sz w:val="24"/>
                <w:lang w:val="en-US" w:eastAsia="zh-CN"/>
              </w:rPr>
            </w:pPr>
            <w:r>
              <w:rPr>
                <w:rFonts w:hint="eastAsia" w:ascii="楷体_GB2312" w:eastAsia="楷体_GB2312"/>
                <w:b/>
                <w:bCs/>
                <w:color w:val="auto"/>
                <w:sz w:val="24"/>
                <w:lang w:eastAsia="zh-CN"/>
              </w:rPr>
              <w:t>1.指挥中心升级改造。</w:t>
            </w:r>
            <w:r>
              <w:rPr>
                <w:rFonts w:hint="eastAsia" w:ascii="楷体_GB2312" w:eastAsia="楷体_GB2312"/>
                <w:color w:val="auto"/>
                <w:sz w:val="24"/>
                <w:lang w:eastAsia="zh-CN"/>
              </w:rPr>
              <w:t>在指挥中心的基础上改造建设区应急指挥中心及配套支撑系统，作为平时值班值守、战时应急指挥的最重要的核心载体。</w:t>
            </w:r>
            <w:r>
              <w:rPr>
                <w:rFonts w:hint="eastAsia" w:ascii="楷体_GB2312" w:eastAsia="楷体_GB2312"/>
                <w:color w:val="auto"/>
                <w:sz w:val="24"/>
                <w:lang w:val="en-US" w:eastAsia="zh-CN"/>
              </w:rPr>
              <w:t xml:space="preserve">    </w:t>
            </w:r>
          </w:p>
          <w:p>
            <w:pPr>
              <w:spacing w:line="300" w:lineRule="auto"/>
              <w:ind w:firstLine="482" w:firstLineChars="200"/>
              <w:rPr>
                <w:rFonts w:hint="eastAsia" w:ascii="楷体_GB2312" w:eastAsia="楷体_GB2312"/>
                <w:color w:val="auto"/>
                <w:sz w:val="24"/>
                <w:lang w:eastAsia="zh-CN"/>
              </w:rPr>
            </w:pPr>
            <w:r>
              <w:rPr>
                <w:rFonts w:hint="eastAsia" w:ascii="楷体_GB2312" w:eastAsia="楷体_GB2312"/>
                <w:b/>
                <w:bCs/>
                <w:color w:val="auto"/>
                <w:sz w:val="24"/>
                <w:lang w:eastAsia="zh-CN"/>
              </w:rPr>
              <w:t>2.移动指挥系统建设。</w:t>
            </w:r>
            <w:r>
              <w:rPr>
                <w:rFonts w:hint="eastAsia" w:ascii="楷体_GB2312" w:eastAsia="楷体_GB2312"/>
                <w:color w:val="auto"/>
                <w:sz w:val="24"/>
                <w:lang w:eastAsia="zh-CN"/>
              </w:rPr>
              <w:t>建设移动指挥车，搭载视频会议系统、现场图像采集系统、视频显示系统等，为移动应急业务开展提供支撑与固定应急指挥中心联动，形成前后方协同作战的一体化指挥中心。</w:t>
            </w:r>
          </w:p>
          <w:p>
            <w:pPr>
              <w:spacing w:line="300" w:lineRule="auto"/>
              <w:ind w:firstLine="482" w:firstLineChars="200"/>
              <w:rPr>
                <w:rFonts w:eastAsia="楷体_GB2312"/>
                <w:sz w:val="24"/>
                <w:lang w:eastAsia="zh-CN"/>
              </w:rPr>
            </w:pPr>
            <w:r>
              <w:rPr>
                <w:rFonts w:hint="eastAsia" w:ascii="楷体_GB2312" w:eastAsia="楷体_GB2312"/>
                <w:b/>
                <w:bCs/>
                <w:color w:val="auto"/>
                <w:sz w:val="24"/>
                <w:lang w:eastAsia="zh-CN"/>
              </w:rPr>
              <w:t>3.应急通信网络建设。</w:t>
            </w:r>
            <w:r>
              <w:rPr>
                <w:rFonts w:hint="eastAsia" w:ascii="楷体_GB2312" w:eastAsia="楷体_GB2312"/>
                <w:color w:val="auto"/>
                <w:sz w:val="24"/>
                <w:lang w:eastAsia="zh-CN"/>
              </w:rPr>
              <w:t>建设融合通信和无线通信系统，满足极端条件下的应急通信保障；同时接入电子政务外网；建设融合指挥平台、视频融合系统和融合通信系统。</w:t>
            </w:r>
          </w:p>
        </w:tc>
      </w:tr>
      <w:bookmarkEnd w:id="61"/>
    </w:tbl>
    <w:p>
      <w:pPr>
        <w:pStyle w:val="4"/>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b w:val="0"/>
          <w:bCs w:val="0"/>
        </w:rPr>
      </w:pPr>
      <w:bookmarkStart w:id="75" w:name="_Toc2823"/>
      <w:bookmarkStart w:id="76" w:name="_Toc72248124"/>
      <w:bookmarkStart w:id="77" w:name="_Toc78912846"/>
      <w:bookmarkStart w:id="78" w:name="_Toc88471007"/>
      <w:bookmarkStart w:id="79" w:name="_Toc51050741"/>
      <w:bookmarkStart w:id="80" w:name="_Toc40947969"/>
      <w:bookmarkStart w:id="81" w:name="_Toc78467548"/>
      <w:r>
        <w:rPr>
          <w:rFonts w:hint="eastAsia"/>
          <w:b w:val="0"/>
          <w:bCs w:val="0"/>
          <w:lang w:eastAsia="zh-CN"/>
        </w:rPr>
        <w:t>（七）</w:t>
      </w:r>
      <w:r>
        <w:rPr>
          <w:b w:val="0"/>
          <w:bCs w:val="0"/>
        </w:rPr>
        <w:t>自然灾害风险普查工程</w:t>
      </w:r>
      <w:bookmarkEnd w:id="75"/>
      <w:bookmarkEnd w:id="76"/>
      <w:bookmarkEnd w:id="77"/>
      <w:bookmarkEnd w:id="78"/>
    </w:p>
    <w:p>
      <w:pPr>
        <w:pStyle w:val="2"/>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ascii="仿宋_GB2312" w:hAnsi="宋体" w:eastAsia="仿宋_GB2312" w:cs="宋体"/>
          <w:color w:val="auto"/>
          <w:sz w:val="32"/>
          <w:szCs w:val="32"/>
          <w:lang w:val="en-US" w:eastAsia="zh-CN" w:bidi="ar-SA"/>
        </w:rPr>
      </w:pPr>
      <w:r>
        <w:rPr>
          <w:rFonts w:hint="eastAsia" w:ascii="仿宋_GB2312" w:hAnsi="宋体" w:eastAsia="仿宋_GB2312" w:cs="宋体"/>
          <w:color w:val="auto"/>
          <w:sz w:val="32"/>
          <w:szCs w:val="32"/>
          <w:lang w:val="en-US" w:eastAsia="zh-CN" w:bidi="ar-SA"/>
        </w:rPr>
        <w:t>按照国家、省市的要求和统一部署，深入开展第一次全国自然灾害综合风险普查。重点清查地震灾害、地质灾害、气象灾害、水旱灾害、海洋灾害、森林火灾等主要灾害致灾信息及重要承载体信息，完成重要隐患调查，查明区域抗灾能力和减灾能力，建立自然灾害风险和综合减灾资源（能力）基础数据库，制订和编制地震灾害、地质灾害、气象灾害、水旱灾害、海洋灾害以及森林火灾等主要灾种的综合风险图和防治区划图，形成全区自然灾害综合风险区划和防治对策。</w:t>
      </w:r>
    </w:p>
    <w:tbl>
      <w:tblPr>
        <w:tblStyle w:val="17"/>
        <w:tblW w:w="8300" w:type="dxa"/>
        <w:tblInd w:w="112" w:type="dxa"/>
        <w:tblLayout w:type="fixed"/>
        <w:tblCellMar>
          <w:top w:w="0" w:type="dxa"/>
          <w:left w:w="10" w:type="dxa"/>
          <w:bottom w:w="0" w:type="dxa"/>
          <w:right w:w="10" w:type="dxa"/>
        </w:tblCellMar>
      </w:tblPr>
      <w:tblGrid>
        <w:gridCol w:w="8300"/>
      </w:tblGrid>
      <w:tr>
        <w:tblPrEx>
          <w:tblCellMar>
            <w:top w:w="0" w:type="dxa"/>
            <w:left w:w="10" w:type="dxa"/>
            <w:bottom w:w="0" w:type="dxa"/>
            <w:right w:w="10" w:type="dxa"/>
          </w:tblCellMar>
        </w:tblPrEx>
        <w:trPr>
          <w:trHeight w:val="567" w:hRule="atLeast"/>
        </w:trPr>
        <w:tc>
          <w:tcPr>
            <w:tcW w:w="8300" w:type="dxa"/>
            <w:tcBorders>
              <w:top w:val="single" w:color="auto" w:sz="4" w:space="0"/>
              <w:left w:val="single" w:color="auto" w:sz="4" w:space="0"/>
              <w:right w:val="single" w:color="auto" w:sz="4" w:space="0"/>
            </w:tcBorders>
            <w:shd w:val="clear" w:color="auto" w:fill="FFFFFF"/>
            <w:tcMar>
              <w:left w:w="108" w:type="dxa"/>
              <w:right w:w="108" w:type="dxa"/>
            </w:tcMar>
            <w:vAlign w:val="center"/>
          </w:tcPr>
          <w:p>
            <w:pPr>
              <w:pageBreakBefore w:val="0"/>
              <w:kinsoku/>
              <w:wordWrap/>
              <w:topLinePunct w:val="0"/>
              <w:bidi w:val="0"/>
              <w:spacing w:line="550" w:lineRule="exact"/>
              <w:jc w:val="center"/>
              <w:textAlignment w:val="auto"/>
              <w:rPr>
                <w:kern w:val="0"/>
                <w:lang w:bidi="zh-CN"/>
              </w:rPr>
            </w:pPr>
            <w:r>
              <w:rPr>
                <w:rFonts w:eastAsia="黑体"/>
                <w:sz w:val="28"/>
                <w:szCs w:val="28"/>
              </w:rPr>
              <w:t xml:space="preserve">专栏 </w:t>
            </w:r>
            <w:r>
              <w:rPr>
                <w:rFonts w:hint="eastAsia" w:eastAsia="黑体"/>
                <w:sz w:val="28"/>
                <w:szCs w:val="28"/>
                <w:lang w:val="en-US" w:eastAsia="zh-CN"/>
              </w:rPr>
              <w:t xml:space="preserve">16 </w:t>
            </w:r>
            <w:r>
              <w:rPr>
                <w:rFonts w:hint="eastAsia" w:eastAsia="黑体"/>
                <w:sz w:val="28"/>
                <w:szCs w:val="28"/>
              </w:rPr>
              <w:t>自然</w:t>
            </w:r>
            <w:r>
              <w:rPr>
                <w:rFonts w:eastAsia="黑体"/>
                <w:sz w:val="28"/>
                <w:szCs w:val="28"/>
              </w:rPr>
              <w:t>灾害风险普查</w:t>
            </w:r>
            <w:r>
              <w:rPr>
                <w:rFonts w:hint="eastAsia" w:eastAsia="黑体"/>
                <w:sz w:val="28"/>
                <w:szCs w:val="28"/>
              </w:rPr>
              <w:t>工程</w:t>
            </w:r>
          </w:p>
        </w:tc>
      </w:tr>
      <w:tr>
        <w:tblPrEx>
          <w:tblCellMar>
            <w:top w:w="0" w:type="dxa"/>
            <w:left w:w="10" w:type="dxa"/>
            <w:bottom w:w="0" w:type="dxa"/>
            <w:right w:w="10" w:type="dxa"/>
          </w:tblCellMar>
        </w:tblPrEx>
        <w:tc>
          <w:tcPr>
            <w:tcW w:w="83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spacing w:line="300" w:lineRule="auto"/>
              <w:ind w:firstLine="482" w:firstLineChars="200"/>
              <w:rPr>
                <w:rFonts w:hint="eastAsia" w:ascii="楷体_GB2312" w:eastAsia="楷体_GB2312"/>
                <w:color w:val="auto"/>
                <w:sz w:val="24"/>
                <w:lang w:val="en-US" w:eastAsia="zh-CN"/>
              </w:rPr>
            </w:pPr>
            <w:r>
              <w:rPr>
                <w:rFonts w:hint="eastAsia" w:ascii="楷体_GB2312" w:eastAsia="楷体_GB2312"/>
                <w:b/>
                <w:bCs/>
                <w:color w:val="auto"/>
                <w:sz w:val="24"/>
                <w:lang w:val="en-US" w:eastAsia="zh-CN"/>
              </w:rPr>
              <w:t>1.自然灾害致灾调查与评估。</w:t>
            </w:r>
            <w:r>
              <w:rPr>
                <w:rFonts w:hint="eastAsia" w:ascii="楷体_GB2312" w:eastAsia="楷体_GB2312"/>
                <w:color w:val="auto"/>
                <w:sz w:val="24"/>
                <w:lang w:val="en-US" w:eastAsia="zh-CN"/>
              </w:rPr>
              <w:t>气象灾害致灾调查与评估，建立主要气象灾害危险性基础数据库，编制危险性区划图件；地质灾害致灾调查与评估，建设多级动态更新的地质灾害数据库，编制危险性评价图系；水旱灾害致灾调查与评估，完成暴雨洪水易发区调查分析、水文站网功能评价、中小流域洪水频率图编制等，建立水旱灾害危险性调查数据库；海洋灾害致灾调查与评估，建设海洋灾害危险性调查与评估数据库，编制危险性分级分布图；森林火灾致灾调查与评估，建设森林火灾危险性调查与评估数据库，编制危险性分级分布图；地震灾害致灾调查与评估，编制区域地震构造图、活动断层分布图、场地类别分区图等。</w:t>
            </w:r>
          </w:p>
          <w:p>
            <w:pPr>
              <w:spacing w:line="300" w:lineRule="auto"/>
              <w:ind w:firstLine="482" w:firstLineChars="200"/>
              <w:rPr>
                <w:rFonts w:hint="eastAsia" w:ascii="楷体_GB2312" w:eastAsia="楷体_GB2312"/>
                <w:color w:val="auto"/>
                <w:sz w:val="24"/>
                <w:lang w:val="en-US" w:eastAsia="zh-CN"/>
              </w:rPr>
            </w:pPr>
            <w:r>
              <w:rPr>
                <w:rFonts w:hint="eastAsia" w:ascii="楷体_GB2312" w:eastAsia="楷体_GB2312"/>
                <w:b/>
                <w:bCs/>
                <w:color w:val="auto"/>
                <w:sz w:val="24"/>
                <w:lang w:val="en-US" w:eastAsia="zh-CN"/>
              </w:rPr>
              <w:t>2.承灾体、历史灾害、综合减灾资源(能力)和重点隐患调查与评估。</w:t>
            </w:r>
            <w:r>
              <w:rPr>
                <w:rFonts w:hint="eastAsia" w:ascii="楷体_GB2312" w:eastAsia="楷体_GB2312"/>
                <w:color w:val="auto"/>
                <w:sz w:val="24"/>
                <w:lang w:val="en-US" w:eastAsia="zh-CN"/>
              </w:rPr>
              <w:t>生成全区承灾体数量、综合减灾资源分布图，建立历史灾害数据集、综合减灾资源(能力)数据库等。</w:t>
            </w:r>
          </w:p>
          <w:p>
            <w:pPr>
              <w:spacing w:line="300" w:lineRule="auto"/>
              <w:ind w:firstLine="480" w:firstLineChars="200"/>
              <w:rPr>
                <w:rFonts w:eastAsia="楷体_GB2312"/>
              </w:rPr>
            </w:pPr>
            <w:r>
              <w:rPr>
                <w:rFonts w:hint="eastAsia" w:ascii="楷体_GB2312" w:eastAsia="楷体_GB2312"/>
                <w:color w:val="auto"/>
                <w:sz w:val="24"/>
                <w:lang w:val="en-US" w:eastAsia="zh-CN"/>
              </w:rPr>
              <w:t>3</w:t>
            </w:r>
            <w:r>
              <w:rPr>
                <w:rFonts w:hint="eastAsia" w:ascii="楷体_GB2312" w:eastAsia="楷体_GB2312"/>
                <w:b/>
                <w:bCs/>
                <w:color w:val="auto"/>
                <w:sz w:val="24"/>
                <w:lang w:val="en-US" w:eastAsia="zh-CN"/>
              </w:rPr>
              <w:t>.灾害风险评估与区划。</w:t>
            </w:r>
            <w:r>
              <w:rPr>
                <w:rFonts w:hint="eastAsia" w:ascii="楷体_GB2312" w:eastAsia="楷体_GB2312"/>
                <w:color w:val="auto"/>
                <w:sz w:val="24"/>
                <w:lang w:val="en-US" w:eastAsia="zh-CN"/>
              </w:rPr>
              <w:t>编制各类主要灾害和森林火灾的风险区划和防治区划方案。建设区街两级和重点区域灾害综合风险图、综合风险区划图、综合防治区划图和综合防治对策报告成果库。</w:t>
            </w:r>
          </w:p>
        </w:tc>
      </w:tr>
      <w:bookmarkEnd w:id="79"/>
    </w:tbl>
    <w:p>
      <w:pPr>
        <w:pStyle w:val="4"/>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b w:val="0"/>
          <w:bCs w:val="0"/>
        </w:rPr>
      </w:pPr>
      <w:bookmarkStart w:id="82" w:name="_Toc78912849"/>
      <w:bookmarkStart w:id="83" w:name="_Toc88471010"/>
      <w:bookmarkStart w:id="84" w:name="_Toc16888"/>
      <w:r>
        <w:rPr>
          <w:rFonts w:hint="eastAsia"/>
          <w:b w:val="0"/>
          <w:bCs w:val="0"/>
          <w:lang w:eastAsia="zh-CN"/>
        </w:rPr>
        <w:t>（八）</w:t>
      </w:r>
      <w:r>
        <w:rPr>
          <w:rFonts w:hint="eastAsia"/>
          <w:b w:val="0"/>
          <w:bCs w:val="0"/>
        </w:rPr>
        <w:t>应急救援</w:t>
      </w:r>
      <w:r>
        <w:rPr>
          <w:b w:val="0"/>
          <w:bCs w:val="0"/>
        </w:rPr>
        <w:t>救助能力提升工程</w:t>
      </w:r>
      <w:bookmarkEnd w:id="82"/>
      <w:bookmarkEnd w:id="83"/>
      <w:bookmarkEnd w:id="84"/>
    </w:p>
    <w:p>
      <w:pPr>
        <w:pStyle w:val="2"/>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theme="minorBidi"/>
          <w:kern w:val="0"/>
          <w:szCs w:val="32"/>
          <w:lang w:eastAsia="zh-CN"/>
        </w:rPr>
      </w:pPr>
      <w:r>
        <w:rPr>
          <w:rFonts w:hint="eastAsia" w:ascii="仿宋_GB2312" w:cstheme="minorBidi"/>
          <w:kern w:val="0"/>
          <w:szCs w:val="32"/>
          <w:lang w:eastAsia="zh-CN"/>
        </w:rPr>
        <w:t>围绕“防大汛、抗大灾、抢大险”的应急物资储备保障需求，完善区街救灾物资储备库网络，强化物资储备投入，强化统筹调度。优化基础装备保障，提升灾害应急救援能力，积极创建全国综合减灾示范社区，充分发挥示范引领作用。</w:t>
      </w:r>
    </w:p>
    <w:p>
      <w:pPr>
        <w:pStyle w:val="2"/>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cstheme="minorBidi"/>
          <w:kern w:val="0"/>
          <w:szCs w:val="32"/>
          <w:lang w:eastAsia="zh-CN"/>
        </w:rPr>
      </w:pPr>
      <w:r>
        <w:rPr>
          <w:rFonts w:hint="eastAsia" w:ascii="仿宋_GB2312" w:cstheme="minorBidi"/>
          <w:kern w:val="0"/>
          <w:szCs w:val="32"/>
          <w:lang w:eastAsia="zh-CN"/>
        </w:rPr>
        <w:t>深入开展灾害应急救助精细化、标准化、现代化建设，实施基层救助能力提升计划，实现有机构、有人员、有制度、有经费，建立健全</w:t>
      </w:r>
      <w:r>
        <w:rPr>
          <w:rFonts w:hint="eastAsia" w:ascii="Times New Roman" w:hAnsi="Times New Roman" w:eastAsia="仿宋_GB2312" w:cs="宋体"/>
          <w:color w:val="000000"/>
          <w:sz w:val="32"/>
          <w:szCs w:val="32"/>
          <w:lang w:val="en-US" w:eastAsia="zh-CN" w:bidi="ar-SA"/>
        </w:rPr>
        <w:t>10小</w:t>
      </w:r>
      <w:r>
        <w:rPr>
          <w:rFonts w:hint="eastAsia" w:ascii="仿宋_GB2312" w:cstheme="minorBidi"/>
          <w:kern w:val="0"/>
          <w:szCs w:val="32"/>
          <w:lang w:eastAsia="zh-CN"/>
        </w:rPr>
        <w:t>时有效救助工作规程，提高救助能力和服务水平。建设若干能够覆盖一定范围的综合性和示范性应急避难场所，规范设置基本生活设施和物资。开展全区应急避难场所基本情况数据采集，形成全区应急避难场所数据库，建设应急避难场所信息管理和综合服务平台，实现对应急避难场所功能区、应急物资、人员安置和运行状态等动态管理。</w:t>
      </w:r>
    </w:p>
    <w:p>
      <w:pPr>
        <w:pStyle w:val="3"/>
        <w:pageBreakBefore w:val="0"/>
        <w:widowControl w:val="0"/>
        <w:kinsoku/>
        <w:wordWrap/>
        <w:overflowPunct/>
        <w:topLinePunct w:val="0"/>
        <w:autoSpaceDE/>
        <w:autoSpaceDN/>
        <w:bidi w:val="0"/>
        <w:spacing w:beforeLines="0" w:afterLines="0" w:line="560" w:lineRule="exact"/>
        <w:ind w:left="0" w:leftChars="0" w:firstLine="640" w:firstLineChars="200"/>
        <w:jc w:val="both"/>
        <w:textAlignment w:val="auto"/>
        <w:rPr>
          <w:rFonts w:hint="eastAsia"/>
          <w:b w:val="0"/>
          <w:bCs w:val="0"/>
          <w:color w:val="auto"/>
          <w:sz w:val="32"/>
          <w:szCs w:val="32"/>
        </w:rPr>
      </w:pPr>
      <w:bookmarkStart w:id="85" w:name="_Toc13115"/>
      <w:r>
        <w:rPr>
          <w:rFonts w:hint="eastAsia"/>
          <w:b w:val="0"/>
          <w:bCs w:val="0"/>
          <w:color w:val="auto"/>
          <w:sz w:val="32"/>
          <w:szCs w:val="32"/>
        </w:rPr>
        <w:t>五、保障</w:t>
      </w:r>
      <w:bookmarkEnd w:id="80"/>
      <w:r>
        <w:rPr>
          <w:rFonts w:hint="eastAsia"/>
          <w:b w:val="0"/>
          <w:bCs w:val="0"/>
          <w:color w:val="auto"/>
          <w:sz w:val="32"/>
          <w:szCs w:val="32"/>
        </w:rPr>
        <w:t>措施</w:t>
      </w:r>
      <w:bookmarkEnd w:id="81"/>
      <w:bookmarkEnd w:id="85"/>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b w:val="0"/>
          <w:bCs w:val="0"/>
          <w:color w:val="auto"/>
        </w:rPr>
      </w:pPr>
      <w:bookmarkStart w:id="86" w:name="_Toc54039183"/>
      <w:bookmarkStart w:id="87" w:name="_Toc78467549"/>
      <w:bookmarkStart w:id="88" w:name="_Toc31327"/>
      <w:bookmarkStart w:id="89" w:name="_Toc40947970"/>
      <w:r>
        <w:rPr>
          <w:rFonts w:hint="eastAsia"/>
          <w:b w:val="0"/>
          <w:bCs w:val="0"/>
          <w:color w:val="auto"/>
        </w:rPr>
        <w:t>（一）加强组织领导</w:t>
      </w:r>
      <w:bookmarkEnd w:id="86"/>
      <w:bookmarkEnd w:id="87"/>
      <w:bookmarkEnd w:id="88"/>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制定规划实施方案，逐级分解落实目标任务，明确责任分工，完善工作机制，落实工作责任。加强各地经济和社会发展年度计划及部门年度工作计划与本规划的有效衔接，确保同步计划、同步实施。各</w:t>
      </w:r>
      <w:r>
        <w:rPr>
          <w:rFonts w:hint="eastAsia"/>
          <w:color w:val="auto"/>
          <w:sz w:val="32"/>
          <w:szCs w:val="32"/>
          <w:lang w:eastAsia="zh-CN"/>
        </w:rPr>
        <w:t>乡街、功能板块</w:t>
      </w:r>
      <w:r>
        <w:rPr>
          <w:rFonts w:hint="eastAsia"/>
          <w:color w:val="auto"/>
          <w:sz w:val="32"/>
          <w:szCs w:val="32"/>
        </w:rPr>
        <w:t>要结合本地实际</w:t>
      </w:r>
      <w:r>
        <w:rPr>
          <w:color w:val="auto"/>
          <w:sz w:val="32"/>
          <w:szCs w:val="32"/>
        </w:rPr>
        <w:t>,编制本</w:t>
      </w:r>
      <w:r>
        <w:rPr>
          <w:rFonts w:hint="eastAsia"/>
          <w:color w:val="auto"/>
          <w:sz w:val="32"/>
          <w:szCs w:val="32"/>
        </w:rPr>
        <w:t>地区</w:t>
      </w:r>
      <w:r>
        <w:rPr>
          <w:color w:val="auto"/>
          <w:sz w:val="32"/>
          <w:szCs w:val="32"/>
        </w:rPr>
        <w:t>安全生产</w:t>
      </w:r>
      <w:r>
        <w:rPr>
          <w:rFonts w:hint="eastAsia"/>
          <w:color w:val="auto"/>
          <w:sz w:val="32"/>
          <w:szCs w:val="32"/>
          <w:lang w:eastAsia="zh-CN"/>
        </w:rPr>
        <w:t>和应急管理体系建设</w:t>
      </w:r>
      <w:r>
        <w:rPr>
          <w:rFonts w:hint="eastAsia"/>
          <w:color w:val="auto"/>
          <w:sz w:val="32"/>
          <w:szCs w:val="32"/>
        </w:rPr>
        <w:t>专项规划，细化落实本规划提出的目标、任务、重点工程。推动和引导企业全面落实安全生产主体责任，确保规划如期完成。</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b w:val="0"/>
          <w:bCs w:val="0"/>
          <w:color w:val="auto"/>
        </w:rPr>
      </w:pPr>
      <w:bookmarkStart w:id="90" w:name="_Toc54039184"/>
      <w:bookmarkStart w:id="91" w:name="_Toc31894"/>
      <w:bookmarkStart w:id="92" w:name="_Toc78467550"/>
      <w:r>
        <w:rPr>
          <w:rFonts w:hint="eastAsia"/>
          <w:b w:val="0"/>
          <w:bCs w:val="0"/>
          <w:color w:val="auto"/>
        </w:rPr>
        <w:t>（二）加大政策支持</w:t>
      </w:r>
      <w:bookmarkEnd w:id="90"/>
      <w:bookmarkEnd w:id="91"/>
      <w:bookmarkEnd w:id="92"/>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研究制定安全隐患治理过程中涉及的城市运行保障从业人员居住、困难群众帮扶、企业退出及有关人员就业等相关政策。加强安全生产执法检查、科技研发、技术支撑体系建设、事故隐患治理、公共安全基础设施建设、重大危险源监控、信息化建设、宣传教育培训和应急救援体系建设等方面的资金保障。研究制定安全生产应急救援社会化有偿服务、应急救援人员人身安全保险、应急救援物资装备征用补偿等政策。</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b w:val="0"/>
          <w:bCs w:val="0"/>
          <w:color w:val="auto"/>
        </w:rPr>
      </w:pPr>
      <w:bookmarkStart w:id="93" w:name="_Toc54039185"/>
      <w:bookmarkStart w:id="94" w:name="_Toc13756"/>
      <w:bookmarkStart w:id="95" w:name="_Toc78467551"/>
      <w:r>
        <w:rPr>
          <w:rFonts w:hint="eastAsia"/>
          <w:b w:val="0"/>
          <w:bCs w:val="0"/>
          <w:color w:val="auto"/>
        </w:rPr>
        <w:t>（三）强化协同推进</w:t>
      </w:r>
      <w:bookmarkEnd w:id="93"/>
      <w:bookmarkEnd w:id="94"/>
      <w:bookmarkEnd w:id="95"/>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区</w:t>
      </w:r>
      <w:r>
        <w:rPr>
          <w:rFonts w:hint="eastAsia"/>
          <w:color w:val="auto"/>
          <w:sz w:val="32"/>
          <w:szCs w:val="32"/>
          <w:lang w:eastAsia="zh-CN"/>
        </w:rPr>
        <w:t>、街</w:t>
      </w:r>
      <w:r>
        <w:rPr>
          <w:rFonts w:hint="eastAsia"/>
          <w:color w:val="auto"/>
          <w:sz w:val="32"/>
          <w:szCs w:val="32"/>
        </w:rPr>
        <w:t>两级安委会及安办要充分发挥统筹协调作用，会同有关部门建立健全规划实施联席制度，形成合力，及时解决规划实施过程中的重大问题。应急管理部门要加强规划实施工作的统筹协调和指导，各相关行业主管部门要按职责分工，认真对照规划目标任务，加强协调配合，协同做好规划的推进落实。</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b w:val="0"/>
          <w:bCs w:val="0"/>
          <w:color w:val="auto"/>
        </w:rPr>
      </w:pPr>
      <w:bookmarkStart w:id="96" w:name="_Toc14042"/>
      <w:bookmarkStart w:id="97" w:name="_Toc54039186"/>
      <w:bookmarkStart w:id="98" w:name="_Toc78467552"/>
      <w:r>
        <w:rPr>
          <w:rFonts w:hint="eastAsia"/>
          <w:b w:val="0"/>
          <w:bCs w:val="0"/>
          <w:color w:val="auto"/>
        </w:rPr>
        <w:t>（四）注重绩效评估</w:t>
      </w:r>
      <w:bookmarkEnd w:id="96"/>
      <w:bookmarkEnd w:id="97"/>
      <w:bookmarkEnd w:id="98"/>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rPr>
      </w:pPr>
      <w:r>
        <w:rPr>
          <w:rFonts w:hint="eastAsia"/>
          <w:color w:val="auto"/>
          <w:sz w:val="32"/>
          <w:szCs w:val="32"/>
        </w:rPr>
        <w:t>各级党委政府要将安全生产</w:t>
      </w:r>
      <w:r>
        <w:rPr>
          <w:rFonts w:hint="eastAsia"/>
          <w:color w:val="auto"/>
          <w:sz w:val="32"/>
          <w:szCs w:val="32"/>
          <w:lang w:eastAsia="zh-CN"/>
        </w:rPr>
        <w:t>和应急管理体系建设</w:t>
      </w:r>
      <w:r>
        <w:rPr>
          <w:rFonts w:hint="eastAsia"/>
          <w:color w:val="auto"/>
          <w:sz w:val="32"/>
          <w:szCs w:val="32"/>
        </w:rPr>
        <w:t>目标纳入经济社会发展考核评价指标体系，建立安全生产</w:t>
      </w:r>
      <w:r>
        <w:rPr>
          <w:rFonts w:hint="eastAsia"/>
          <w:color w:val="auto"/>
          <w:sz w:val="32"/>
          <w:szCs w:val="32"/>
          <w:lang w:eastAsia="zh-CN"/>
        </w:rPr>
        <w:t>和应急管理体系建设</w:t>
      </w:r>
      <w:r>
        <w:rPr>
          <w:rFonts w:hint="eastAsia"/>
          <w:color w:val="auto"/>
          <w:sz w:val="32"/>
          <w:szCs w:val="32"/>
        </w:rPr>
        <w:t>规划实施激励约束机制，加强对规划执行情况的监督检查。</w:t>
      </w:r>
      <w:r>
        <w:rPr>
          <w:rFonts w:hint="eastAsia"/>
          <w:color w:val="auto"/>
          <w:sz w:val="32"/>
          <w:szCs w:val="32"/>
          <w:lang w:eastAsia="zh-CN"/>
        </w:rPr>
        <w:t>区</w:t>
      </w:r>
      <w:r>
        <w:rPr>
          <w:rFonts w:hint="eastAsia"/>
          <w:color w:val="auto"/>
          <w:sz w:val="32"/>
          <w:szCs w:val="32"/>
        </w:rPr>
        <w:t>安委办会同有关部门对本规划执行情况进行中期和终期评估考核，</w:t>
      </w:r>
      <w:bookmarkEnd w:id="89"/>
      <w:r>
        <w:rPr>
          <w:rFonts w:hint="eastAsia"/>
          <w:color w:val="auto"/>
          <w:sz w:val="32"/>
          <w:szCs w:val="32"/>
        </w:rPr>
        <w:t>要结合国内外发展环境的新变化新要求，重点评估实施进展情况及存在问题，对规划范围、主要目标、重点任务进行动态调整，优化政策措施和实施方案。要强化监测评估结果应用，引导全</w:t>
      </w:r>
      <w:r>
        <w:rPr>
          <w:rFonts w:hint="eastAsia"/>
          <w:color w:val="auto"/>
          <w:sz w:val="32"/>
          <w:szCs w:val="32"/>
          <w:lang w:eastAsia="zh-CN"/>
        </w:rPr>
        <w:t>区</w:t>
      </w:r>
      <w:r>
        <w:rPr>
          <w:rFonts w:hint="eastAsia"/>
          <w:color w:val="auto"/>
          <w:sz w:val="32"/>
          <w:szCs w:val="32"/>
        </w:rPr>
        <w:t>各级党委和政府扎实推动规划要求落地落实。</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宋 体">
    <w:altName w:val="宋体"/>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val="0"/>
                            <w:snapToGrid w:val="0"/>
                            <w:ind w:right="300" w:rightChars="100"/>
                            <w:textAlignment w:val="auto"/>
                          </w:pPr>
                          <w:r>
                            <w:rPr>
                              <w:rFonts w:hint="default" w:ascii="Tahoma" w:hAnsi="Tahoma" w:cs="Tahoma"/>
                              <w:sz w:val="28"/>
                              <w:szCs w:val="28"/>
                            </w:rPr>
                            <w:fldChar w:fldCharType="begin"/>
                          </w:r>
                          <w:r>
                            <w:rPr>
                              <w:rFonts w:hint="default" w:ascii="Tahoma" w:hAnsi="Tahoma" w:cs="Tahoma"/>
                              <w:sz w:val="28"/>
                              <w:szCs w:val="28"/>
                            </w:rPr>
                            <w:instrText xml:space="preserve"> PAGE  \* MERGEFORMAT </w:instrText>
                          </w:r>
                          <w:r>
                            <w:rPr>
                              <w:rFonts w:hint="default" w:ascii="Tahoma" w:hAnsi="Tahoma" w:cs="Tahoma"/>
                              <w:sz w:val="28"/>
                              <w:szCs w:val="28"/>
                            </w:rPr>
                            <w:fldChar w:fldCharType="separate"/>
                          </w:r>
                          <w:r>
                            <w:rPr>
                              <w:rFonts w:hint="default" w:ascii="Tahoma" w:hAnsi="Tahoma" w:cs="Tahoma"/>
                              <w:sz w:val="28"/>
                              <w:szCs w:val="28"/>
                            </w:rPr>
                            <w:t>- 1 -</w:t>
                          </w:r>
                          <w:r>
                            <w:rPr>
                              <w:rFonts w:hint="default" w:ascii="Tahoma" w:hAnsi="Tahoma" w:cs="Tahom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val="0"/>
                      <w:snapToGrid w:val="0"/>
                      <w:ind w:right="300" w:rightChars="100"/>
                      <w:textAlignment w:val="auto"/>
                    </w:pPr>
                    <w:r>
                      <w:rPr>
                        <w:rFonts w:hint="default" w:ascii="Tahoma" w:hAnsi="Tahoma" w:cs="Tahoma"/>
                        <w:sz w:val="28"/>
                        <w:szCs w:val="28"/>
                      </w:rPr>
                      <w:fldChar w:fldCharType="begin"/>
                    </w:r>
                    <w:r>
                      <w:rPr>
                        <w:rFonts w:hint="default" w:ascii="Tahoma" w:hAnsi="Tahoma" w:cs="Tahoma"/>
                        <w:sz w:val="28"/>
                        <w:szCs w:val="28"/>
                      </w:rPr>
                      <w:instrText xml:space="preserve"> PAGE  \* MERGEFORMAT </w:instrText>
                    </w:r>
                    <w:r>
                      <w:rPr>
                        <w:rFonts w:hint="default" w:ascii="Tahoma" w:hAnsi="Tahoma" w:cs="Tahoma"/>
                        <w:sz w:val="28"/>
                        <w:szCs w:val="28"/>
                      </w:rPr>
                      <w:fldChar w:fldCharType="separate"/>
                    </w:r>
                    <w:r>
                      <w:rPr>
                        <w:rFonts w:hint="default" w:ascii="Tahoma" w:hAnsi="Tahoma" w:cs="Tahoma"/>
                        <w:sz w:val="28"/>
                        <w:szCs w:val="28"/>
                      </w:rPr>
                      <w:t>- 1 -</w:t>
                    </w:r>
                    <w:r>
                      <w:rPr>
                        <w:rFonts w:hint="default" w:ascii="Tahoma" w:hAnsi="Tahoma" w:cs="Tahoma"/>
                        <w:sz w:val="28"/>
                        <w:szCs w:val="28"/>
                      </w:rP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60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300" w:leftChars="100" w:right="300" w:rightChars="100"/>
                            <w:textAlignment w:val="auto"/>
                          </w:pPr>
                          <w:r>
                            <w:rPr>
                              <w:rFonts w:hint="default" w:ascii="Tahoma" w:hAnsi="Tahoma" w:cs="Tahoma"/>
                              <w:sz w:val="28"/>
                              <w:szCs w:val="28"/>
                            </w:rPr>
                            <w:fldChar w:fldCharType="begin"/>
                          </w:r>
                          <w:r>
                            <w:rPr>
                              <w:rFonts w:hint="default" w:ascii="Tahoma" w:hAnsi="Tahoma" w:cs="Tahoma"/>
                              <w:sz w:val="28"/>
                              <w:szCs w:val="28"/>
                            </w:rPr>
                            <w:instrText xml:space="preserve"> PAGE  \* MERGEFORMAT </w:instrText>
                          </w:r>
                          <w:r>
                            <w:rPr>
                              <w:rFonts w:hint="default" w:ascii="Tahoma" w:hAnsi="Tahoma" w:cs="Tahoma"/>
                              <w:sz w:val="28"/>
                              <w:szCs w:val="28"/>
                            </w:rPr>
                            <w:fldChar w:fldCharType="separate"/>
                          </w:r>
                          <w:r>
                            <w:rPr>
                              <w:rFonts w:hint="default" w:ascii="Tahoma" w:hAnsi="Tahoma" w:cs="Tahoma"/>
                              <w:sz w:val="28"/>
                              <w:szCs w:val="28"/>
                            </w:rPr>
                            <w:t>- 1 -</w:t>
                          </w:r>
                          <w:r>
                            <w:rPr>
                              <w:rFonts w:hint="default" w:ascii="Tahoma" w:hAnsi="Tahoma" w:cs="Tahom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ind w:left="300" w:leftChars="100" w:right="300" w:rightChars="100"/>
                      <w:textAlignment w:val="auto"/>
                    </w:pPr>
                    <w:r>
                      <w:rPr>
                        <w:rFonts w:hint="default" w:ascii="Tahoma" w:hAnsi="Tahoma" w:cs="Tahoma"/>
                        <w:sz w:val="28"/>
                        <w:szCs w:val="28"/>
                      </w:rPr>
                      <w:fldChar w:fldCharType="begin"/>
                    </w:r>
                    <w:r>
                      <w:rPr>
                        <w:rFonts w:hint="default" w:ascii="Tahoma" w:hAnsi="Tahoma" w:cs="Tahoma"/>
                        <w:sz w:val="28"/>
                        <w:szCs w:val="28"/>
                      </w:rPr>
                      <w:instrText xml:space="preserve"> PAGE  \* MERGEFORMAT </w:instrText>
                    </w:r>
                    <w:r>
                      <w:rPr>
                        <w:rFonts w:hint="default" w:ascii="Tahoma" w:hAnsi="Tahoma" w:cs="Tahoma"/>
                        <w:sz w:val="28"/>
                        <w:szCs w:val="28"/>
                      </w:rPr>
                      <w:fldChar w:fldCharType="separate"/>
                    </w:r>
                    <w:r>
                      <w:rPr>
                        <w:rFonts w:hint="default" w:ascii="Tahoma" w:hAnsi="Tahoma" w:cs="Tahoma"/>
                        <w:sz w:val="28"/>
                        <w:szCs w:val="28"/>
                      </w:rPr>
                      <w:t>- 1 -</w:t>
                    </w:r>
                    <w:r>
                      <w:rPr>
                        <w:rFonts w:hint="default" w:ascii="Tahoma" w:hAnsi="Tahoma" w:cs="Tahoma"/>
                        <w:sz w:val="28"/>
                        <w:szCs w:val="28"/>
                      </w:rPr>
                      <w:fldChar w:fldCharType="end"/>
                    </w: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2NmOGI2YWRiNTU5NGQxMjk1Njc1YTZmZjhjOWMifQ=="/>
    <w:docVar w:name="KGWebUrl" w:val="http://103.83.44.137:80/ajjoa_server/OfficeServerXxfb"/>
  </w:docVars>
  <w:rsids>
    <w:rsidRoot w:val="00D671C9"/>
    <w:rsid w:val="000008B5"/>
    <w:rsid w:val="00000F72"/>
    <w:rsid w:val="000019D5"/>
    <w:rsid w:val="00002B5E"/>
    <w:rsid w:val="00004F9A"/>
    <w:rsid w:val="00005C78"/>
    <w:rsid w:val="000101DE"/>
    <w:rsid w:val="00012483"/>
    <w:rsid w:val="000125D7"/>
    <w:rsid w:val="00012B1B"/>
    <w:rsid w:val="00014A15"/>
    <w:rsid w:val="00015424"/>
    <w:rsid w:val="00015D2B"/>
    <w:rsid w:val="0001610B"/>
    <w:rsid w:val="00016406"/>
    <w:rsid w:val="00017F26"/>
    <w:rsid w:val="0002013D"/>
    <w:rsid w:val="00020A1B"/>
    <w:rsid w:val="00021143"/>
    <w:rsid w:val="00021A62"/>
    <w:rsid w:val="00021AB3"/>
    <w:rsid w:val="000234CF"/>
    <w:rsid w:val="00023793"/>
    <w:rsid w:val="00023B21"/>
    <w:rsid w:val="00023F55"/>
    <w:rsid w:val="000241D0"/>
    <w:rsid w:val="0002456A"/>
    <w:rsid w:val="0003039E"/>
    <w:rsid w:val="00031E20"/>
    <w:rsid w:val="00032831"/>
    <w:rsid w:val="00032A3F"/>
    <w:rsid w:val="00033406"/>
    <w:rsid w:val="000337BE"/>
    <w:rsid w:val="0003390F"/>
    <w:rsid w:val="00033BAC"/>
    <w:rsid w:val="00035212"/>
    <w:rsid w:val="0003613F"/>
    <w:rsid w:val="00036C54"/>
    <w:rsid w:val="00036E2B"/>
    <w:rsid w:val="000371E0"/>
    <w:rsid w:val="00037349"/>
    <w:rsid w:val="00040E10"/>
    <w:rsid w:val="000419EF"/>
    <w:rsid w:val="0004217D"/>
    <w:rsid w:val="000423D6"/>
    <w:rsid w:val="000425A2"/>
    <w:rsid w:val="0004281E"/>
    <w:rsid w:val="00042BE5"/>
    <w:rsid w:val="00043402"/>
    <w:rsid w:val="00043E0E"/>
    <w:rsid w:val="00044151"/>
    <w:rsid w:val="00045F62"/>
    <w:rsid w:val="00046D47"/>
    <w:rsid w:val="00047663"/>
    <w:rsid w:val="00047D15"/>
    <w:rsid w:val="0005008D"/>
    <w:rsid w:val="00051629"/>
    <w:rsid w:val="00051756"/>
    <w:rsid w:val="000520D2"/>
    <w:rsid w:val="00052947"/>
    <w:rsid w:val="00052FF1"/>
    <w:rsid w:val="0005308C"/>
    <w:rsid w:val="00053DCA"/>
    <w:rsid w:val="0005469E"/>
    <w:rsid w:val="00054D9A"/>
    <w:rsid w:val="0005513A"/>
    <w:rsid w:val="0005610F"/>
    <w:rsid w:val="00057020"/>
    <w:rsid w:val="0005729A"/>
    <w:rsid w:val="0005756E"/>
    <w:rsid w:val="000606D9"/>
    <w:rsid w:val="000607BF"/>
    <w:rsid w:val="000626B9"/>
    <w:rsid w:val="000629EF"/>
    <w:rsid w:val="00062E4B"/>
    <w:rsid w:val="00063838"/>
    <w:rsid w:val="00063A88"/>
    <w:rsid w:val="00064E6B"/>
    <w:rsid w:val="00066505"/>
    <w:rsid w:val="00066CB8"/>
    <w:rsid w:val="00067CA4"/>
    <w:rsid w:val="00067E3D"/>
    <w:rsid w:val="000701AA"/>
    <w:rsid w:val="000709F5"/>
    <w:rsid w:val="000733B2"/>
    <w:rsid w:val="00073604"/>
    <w:rsid w:val="0007392B"/>
    <w:rsid w:val="00073C4F"/>
    <w:rsid w:val="000746EB"/>
    <w:rsid w:val="00074FA3"/>
    <w:rsid w:val="0007510C"/>
    <w:rsid w:val="00076A0F"/>
    <w:rsid w:val="000778DC"/>
    <w:rsid w:val="00077932"/>
    <w:rsid w:val="0008222B"/>
    <w:rsid w:val="0008274D"/>
    <w:rsid w:val="00082FE8"/>
    <w:rsid w:val="0008310F"/>
    <w:rsid w:val="00083A12"/>
    <w:rsid w:val="00083A46"/>
    <w:rsid w:val="00083D84"/>
    <w:rsid w:val="00087F64"/>
    <w:rsid w:val="000900F7"/>
    <w:rsid w:val="00090590"/>
    <w:rsid w:val="00091F2F"/>
    <w:rsid w:val="00092D9D"/>
    <w:rsid w:val="000932E6"/>
    <w:rsid w:val="00094CF4"/>
    <w:rsid w:val="000A02DC"/>
    <w:rsid w:val="000A0377"/>
    <w:rsid w:val="000A1392"/>
    <w:rsid w:val="000A1477"/>
    <w:rsid w:val="000A1961"/>
    <w:rsid w:val="000A1C65"/>
    <w:rsid w:val="000A2EC9"/>
    <w:rsid w:val="000A339B"/>
    <w:rsid w:val="000A3682"/>
    <w:rsid w:val="000A376D"/>
    <w:rsid w:val="000A3E96"/>
    <w:rsid w:val="000A4397"/>
    <w:rsid w:val="000A446B"/>
    <w:rsid w:val="000A7220"/>
    <w:rsid w:val="000A78A0"/>
    <w:rsid w:val="000B187C"/>
    <w:rsid w:val="000B2871"/>
    <w:rsid w:val="000B3349"/>
    <w:rsid w:val="000B3B9F"/>
    <w:rsid w:val="000B48A8"/>
    <w:rsid w:val="000B72A0"/>
    <w:rsid w:val="000B74E3"/>
    <w:rsid w:val="000B775A"/>
    <w:rsid w:val="000C145E"/>
    <w:rsid w:val="000C185C"/>
    <w:rsid w:val="000C19D1"/>
    <w:rsid w:val="000C223C"/>
    <w:rsid w:val="000C250D"/>
    <w:rsid w:val="000C29FB"/>
    <w:rsid w:val="000C35A7"/>
    <w:rsid w:val="000C41DC"/>
    <w:rsid w:val="000C57CF"/>
    <w:rsid w:val="000C6B36"/>
    <w:rsid w:val="000C6F0B"/>
    <w:rsid w:val="000C7AC0"/>
    <w:rsid w:val="000C7C5C"/>
    <w:rsid w:val="000D0EE0"/>
    <w:rsid w:val="000D1B69"/>
    <w:rsid w:val="000D1D95"/>
    <w:rsid w:val="000D1E57"/>
    <w:rsid w:val="000D32D6"/>
    <w:rsid w:val="000D4B63"/>
    <w:rsid w:val="000D5001"/>
    <w:rsid w:val="000D6409"/>
    <w:rsid w:val="000D7673"/>
    <w:rsid w:val="000E1D28"/>
    <w:rsid w:val="000E1DD0"/>
    <w:rsid w:val="000E23A2"/>
    <w:rsid w:val="000E4005"/>
    <w:rsid w:val="000E4376"/>
    <w:rsid w:val="000E48E8"/>
    <w:rsid w:val="000E49D8"/>
    <w:rsid w:val="000E5C35"/>
    <w:rsid w:val="000E6823"/>
    <w:rsid w:val="000E687E"/>
    <w:rsid w:val="000E726D"/>
    <w:rsid w:val="000E7753"/>
    <w:rsid w:val="000F0DB8"/>
    <w:rsid w:val="000F0F07"/>
    <w:rsid w:val="000F1C59"/>
    <w:rsid w:val="000F2457"/>
    <w:rsid w:val="000F2581"/>
    <w:rsid w:val="000F318C"/>
    <w:rsid w:val="000F3420"/>
    <w:rsid w:val="000F45CE"/>
    <w:rsid w:val="000F4F0A"/>
    <w:rsid w:val="000F5E3B"/>
    <w:rsid w:val="000F64BF"/>
    <w:rsid w:val="000F6E85"/>
    <w:rsid w:val="000F751A"/>
    <w:rsid w:val="000F7952"/>
    <w:rsid w:val="000F7A0D"/>
    <w:rsid w:val="00100798"/>
    <w:rsid w:val="00100F36"/>
    <w:rsid w:val="001014AC"/>
    <w:rsid w:val="00101E64"/>
    <w:rsid w:val="00102A5F"/>
    <w:rsid w:val="00102C29"/>
    <w:rsid w:val="00103823"/>
    <w:rsid w:val="00103947"/>
    <w:rsid w:val="001042EE"/>
    <w:rsid w:val="001048A4"/>
    <w:rsid w:val="0010525C"/>
    <w:rsid w:val="0010634B"/>
    <w:rsid w:val="00106B8C"/>
    <w:rsid w:val="00107437"/>
    <w:rsid w:val="00107475"/>
    <w:rsid w:val="00107ED1"/>
    <w:rsid w:val="0011024B"/>
    <w:rsid w:val="00110B49"/>
    <w:rsid w:val="00112015"/>
    <w:rsid w:val="00112CBC"/>
    <w:rsid w:val="00112FEC"/>
    <w:rsid w:val="00114EAE"/>
    <w:rsid w:val="001155D8"/>
    <w:rsid w:val="00115D4F"/>
    <w:rsid w:val="00115D65"/>
    <w:rsid w:val="00115E1F"/>
    <w:rsid w:val="0011617C"/>
    <w:rsid w:val="001179E2"/>
    <w:rsid w:val="00117F9C"/>
    <w:rsid w:val="001210E8"/>
    <w:rsid w:val="0012136A"/>
    <w:rsid w:val="00121727"/>
    <w:rsid w:val="00122E45"/>
    <w:rsid w:val="00123183"/>
    <w:rsid w:val="001232F8"/>
    <w:rsid w:val="00123706"/>
    <w:rsid w:val="00123F1A"/>
    <w:rsid w:val="0012555E"/>
    <w:rsid w:val="00125EFF"/>
    <w:rsid w:val="001267D8"/>
    <w:rsid w:val="0012715E"/>
    <w:rsid w:val="00127816"/>
    <w:rsid w:val="001303CC"/>
    <w:rsid w:val="00130475"/>
    <w:rsid w:val="00130D64"/>
    <w:rsid w:val="00131882"/>
    <w:rsid w:val="00131927"/>
    <w:rsid w:val="0013210D"/>
    <w:rsid w:val="00132CA6"/>
    <w:rsid w:val="0013311B"/>
    <w:rsid w:val="00133296"/>
    <w:rsid w:val="001335E6"/>
    <w:rsid w:val="00133C67"/>
    <w:rsid w:val="00134C56"/>
    <w:rsid w:val="001355AC"/>
    <w:rsid w:val="001356C0"/>
    <w:rsid w:val="001358A4"/>
    <w:rsid w:val="00136684"/>
    <w:rsid w:val="001368CB"/>
    <w:rsid w:val="00136BA4"/>
    <w:rsid w:val="0013701E"/>
    <w:rsid w:val="00140AEF"/>
    <w:rsid w:val="00140F07"/>
    <w:rsid w:val="001423A3"/>
    <w:rsid w:val="001424E4"/>
    <w:rsid w:val="00146591"/>
    <w:rsid w:val="00146D57"/>
    <w:rsid w:val="00147003"/>
    <w:rsid w:val="00147580"/>
    <w:rsid w:val="00150053"/>
    <w:rsid w:val="00150D7E"/>
    <w:rsid w:val="00150E21"/>
    <w:rsid w:val="00150EF5"/>
    <w:rsid w:val="00151378"/>
    <w:rsid w:val="0015166E"/>
    <w:rsid w:val="00151BC8"/>
    <w:rsid w:val="0015357E"/>
    <w:rsid w:val="001535E0"/>
    <w:rsid w:val="00153B5E"/>
    <w:rsid w:val="001545F2"/>
    <w:rsid w:val="00154894"/>
    <w:rsid w:val="001554D4"/>
    <w:rsid w:val="00155772"/>
    <w:rsid w:val="00156099"/>
    <w:rsid w:val="001563FA"/>
    <w:rsid w:val="001564C1"/>
    <w:rsid w:val="00156C76"/>
    <w:rsid w:val="001573F8"/>
    <w:rsid w:val="00157BD6"/>
    <w:rsid w:val="0016002C"/>
    <w:rsid w:val="001610A6"/>
    <w:rsid w:val="0016184F"/>
    <w:rsid w:val="001621E6"/>
    <w:rsid w:val="0016242A"/>
    <w:rsid w:val="00162787"/>
    <w:rsid w:val="0016286E"/>
    <w:rsid w:val="00162F1B"/>
    <w:rsid w:val="0016337B"/>
    <w:rsid w:val="00163AFE"/>
    <w:rsid w:val="00163F1E"/>
    <w:rsid w:val="00164B63"/>
    <w:rsid w:val="0016595A"/>
    <w:rsid w:val="00165E96"/>
    <w:rsid w:val="00166378"/>
    <w:rsid w:val="001678C1"/>
    <w:rsid w:val="00170D19"/>
    <w:rsid w:val="00170D90"/>
    <w:rsid w:val="00171CDE"/>
    <w:rsid w:val="001728DE"/>
    <w:rsid w:val="00173051"/>
    <w:rsid w:val="00174D30"/>
    <w:rsid w:val="00176D4C"/>
    <w:rsid w:val="0017730D"/>
    <w:rsid w:val="0018162B"/>
    <w:rsid w:val="001823A7"/>
    <w:rsid w:val="00182FB4"/>
    <w:rsid w:val="00183760"/>
    <w:rsid w:val="0018379D"/>
    <w:rsid w:val="0018474C"/>
    <w:rsid w:val="00184FDF"/>
    <w:rsid w:val="001851D9"/>
    <w:rsid w:val="001858B0"/>
    <w:rsid w:val="00185AC7"/>
    <w:rsid w:val="00185E5C"/>
    <w:rsid w:val="00187574"/>
    <w:rsid w:val="00187622"/>
    <w:rsid w:val="0019030D"/>
    <w:rsid w:val="00190A92"/>
    <w:rsid w:val="00191B5F"/>
    <w:rsid w:val="0019411A"/>
    <w:rsid w:val="00194265"/>
    <w:rsid w:val="00195B8E"/>
    <w:rsid w:val="001963C7"/>
    <w:rsid w:val="001A0051"/>
    <w:rsid w:val="001A0E80"/>
    <w:rsid w:val="001A16D1"/>
    <w:rsid w:val="001A198F"/>
    <w:rsid w:val="001A2BC0"/>
    <w:rsid w:val="001A561F"/>
    <w:rsid w:val="001A5E7C"/>
    <w:rsid w:val="001A614A"/>
    <w:rsid w:val="001A636E"/>
    <w:rsid w:val="001A6A98"/>
    <w:rsid w:val="001A6B11"/>
    <w:rsid w:val="001A6B99"/>
    <w:rsid w:val="001A7448"/>
    <w:rsid w:val="001A75AE"/>
    <w:rsid w:val="001A7F77"/>
    <w:rsid w:val="001B04CF"/>
    <w:rsid w:val="001B0508"/>
    <w:rsid w:val="001B0D20"/>
    <w:rsid w:val="001B0F8A"/>
    <w:rsid w:val="001B18A2"/>
    <w:rsid w:val="001B1C13"/>
    <w:rsid w:val="001B387C"/>
    <w:rsid w:val="001B4160"/>
    <w:rsid w:val="001B4AA1"/>
    <w:rsid w:val="001B6C4C"/>
    <w:rsid w:val="001B7A48"/>
    <w:rsid w:val="001B7A8B"/>
    <w:rsid w:val="001C5199"/>
    <w:rsid w:val="001C541A"/>
    <w:rsid w:val="001C549D"/>
    <w:rsid w:val="001C55FE"/>
    <w:rsid w:val="001C5E3D"/>
    <w:rsid w:val="001C6909"/>
    <w:rsid w:val="001C786D"/>
    <w:rsid w:val="001C7F7D"/>
    <w:rsid w:val="001D04E0"/>
    <w:rsid w:val="001D1AA2"/>
    <w:rsid w:val="001D2BDB"/>
    <w:rsid w:val="001D38CF"/>
    <w:rsid w:val="001D3BD5"/>
    <w:rsid w:val="001D51E6"/>
    <w:rsid w:val="001D587C"/>
    <w:rsid w:val="001D5DDB"/>
    <w:rsid w:val="001E0104"/>
    <w:rsid w:val="001E02E0"/>
    <w:rsid w:val="001E0ED1"/>
    <w:rsid w:val="001E1E36"/>
    <w:rsid w:val="001E23BB"/>
    <w:rsid w:val="001E2CA5"/>
    <w:rsid w:val="001E3116"/>
    <w:rsid w:val="001E45A1"/>
    <w:rsid w:val="001E45B8"/>
    <w:rsid w:val="001E4AE5"/>
    <w:rsid w:val="001E4EB8"/>
    <w:rsid w:val="001E4EFC"/>
    <w:rsid w:val="001E51BE"/>
    <w:rsid w:val="001E5758"/>
    <w:rsid w:val="001E5C62"/>
    <w:rsid w:val="001E5E0D"/>
    <w:rsid w:val="001E6451"/>
    <w:rsid w:val="001E682E"/>
    <w:rsid w:val="001E6EE4"/>
    <w:rsid w:val="001F09B6"/>
    <w:rsid w:val="001F1288"/>
    <w:rsid w:val="001F1ACE"/>
    <w:rsid w:val="001F1C0E"/>
    <w:rsid w:val="001F1C11"/>
    <w:rsid w:val="001F1DA4"/>
    <w:rsid w:val="001F2EC0"/>
    <w:rsid w:val="001F318F"/>
    <w:rsid w:val="001F33BC"/>
    <w:rsid w:val="001F353A"/>
    <w:rsid w:val="001F3970"/>
    <w:rsid w:val="001F3AB8"/>
    <w:rsid w:val="001F4754"/>
    <w:rsid w:val="001F4FD2"/>
    <w:rsid w:val="001F5CC5"/>
    <w:rsid w:val="00200578"/>
    <w:rsid w:val="00200D3B"/>
    <w:rsid w:val="002013DD"/>
    <w:rsid w:val="00202474"/>
    <w:rsid w:val="00203A10"/>
    <w:rsid w:val="00203CD5"/>
    <w:rsid w:val="00203F2A"/>
    <w:rsid w:val="002043FB"/>
    <w:rsid w:val="00204EDD"/>
    <w:rsid w:val="00205F52"/>
    <w:rsid w:val="002109AC"/>
    <w:rsid w:val="00211439"/>
    <w:rsid w:val="00211B6D"/>
    <w:rsid w:val="0021372C"/>
    <w:rsid w:val="00213B24"/>
    <w:rsid w:val="00214800"/>
    <w:rsid w:val="002148D3"/>
    <w:rsid w:val="00214E74"/>
    <w:rsid w:val="002158CD"/>
    <w:rsid w:val="00216A61"/>
    <w:rsid w:val="00216EDC"/>
    <w:rsid w:val="00217999"/>
    <w:rsid w:val="00217E1C"/>
    <w:rsid w:val="00220E8C"/>
    <w:rsid w:val="0022277D"/>
    <w:rsid w:val="00222CB6"/>
    <w:rsid w:val="00223872"/>
    <w:rsid w:val="00224FF3"/>
    <w:rsid w:val="002278BA"/>
    <w:rsid w:val="002315F5"/>
    <w:rsid w:val="002316ED"/>
    <w:rsid w:val="00232E1C"/>
    <w:rsid w:val="002333DF"/>
    <w:rsid w:val="00233CE8"/>
    <w:rsid w:val="002362B8"/>
    <w:rsid w:val="00236B49"/>
    <w:rsid w:val="00237CBB"/>
    <w:rsid w:val="002407D3"/>
    <w:rsid w:val="002411AF"/>
    <w:rsid w:val="002415CE"/>
    <w:rsid w:val="0024181A"/>
    <w:rsid w:val="002455D9"/>
    <w:rsid w:val="00246C11"/>
    <w:rsid w:val="00250E72"/>
    <w:rsid w:val="00251D8A"/>
    <w:rsid w:val="00252B15"/>
    <w:rsid w:val="0025352F"/>
    <w:rsid w:val="0025485F"/>
    <w:rsid w:val="00256C43"/>
    <w:rsid w:val="00257809"/>
    <w:rsid w:val="00257E48"/>
    <w:rsid w:val="00261230"/>
    <w:rsid w:val="00262021"/>
    <w:rsid w:val="00262180"/>
    <w:rsid w:val="002621F4"/>
    <w:rsid w:val="00262235"/>
    <w:rsid w:val="00262ACD"/>
    <w:rsid w:val="002631C7"/>
    <w:rsid w:val="00263402"/>
    <w:rsid w:val="00263E60"/>
    <w:rsid w:val="00266A46"/>
    <w:rsid w:val="00267784"/>
    <w:rsid w:val="00267FB8"/>
    <w:rsid w:val="00270F09"/>
    <w:rsid w:val="0027204F"/>
    <w:rsid w:val="002729B1"/>
    <w:rsid w:val="00272A0C"/>
    <w:rsid w:val="00274D50"/>
    <w:rsid w:val="00274F59"/>
    <w:rsid w:val="00275CB7"/>
    <w:rsid w:val="0027648D"/>
    <w:rsid w:val="00276E07"/>
    <w:rsid w:val="00277986"/>
    <w:rsid w:val="0028010A"/>
    <w:rsid w:val="00280212"/>
    <w:rsid w:val="00281108"/>
    <w:rsid w:val="00281BE4"/>
    <w:rsid w:val="00283EA6"/>
    <w:rsid w:val="00283EE0"/>
    <w:rsid w:val="002841FB"/>
    <w:rsid w:val="00284356"/>
    <w:rsid w:val="00284604"/>
    <w:rsid w:val="00284B3E"/>
    <w:rsid w:val="00284E27"/>
    <w:rsid w:val="002852BD"/>
    <w:rsid w:val="00285C0C"/>
    <w:rsid w:val="00285E04"/>
    <w:rsid w:val="00292909"/>
    <w:rsid w:val="002937C7"/>
    <w:rsid w:val="002944C4"/>
    <w:rsid w:val="00294955"/>
    <w:rsid w:val="00294A58"/>
    <w:rsid w:val="0029546C"/>
    <w:rsid w:val="0029607B"/>
    <w:rsid w:val="00297253"/>
    <w:rsid w:val="00297870"/>
    <w:rsid w:val="002A06D0"/>
    <w:rsid w:val="002A0AB9"/>
    <w:rsid w:val="002A218D"/>
    <w:rsid w:val="002A3588"/>
    <w:rsid w:val="002A44C3"/>
    <w:rsid w:val="002A4FB8"/>
    <w:rsid w:val="002A65BA"/>
    <w:rsid w:val="002A68E0"/>
    <w:rsid w:val="002A6F51"/>
    <w:rsid w:val="002B0107"/>
    <w:rsid w:val="002B1D42"/>
    <w:rsid w:val="002B1F6E"/>
    <w:rsid w:val="002B22CB"/>
    <w:rsid w:val="002B3984"/>
    <w:rsid w:val="002B3B76"/>
    <w:rsid w:val="002B3C85"/>
    <w:rsid w:val="002B683D"/>
    <w:rsid w:val="002B693B"/>
    <w:rsid w:val="002B6CF4"/>
    <w:rsid w:val="002C0767"/>
    <w:rsid w:val="002C104D"/>
    <w:rsid w:val="002C1555"/>
    <w:rsid w:val="002C1E6D"/>
    <w:rsid w:val="002C216A"/>
    <w:rsid w:val="002C425D"/>
    <w:rsid w:val="002C5309"/>
    <w:rsid w:val="002C54C2"/>
    <w:rsid w:val="002C558F"/>
    <w:rsid w:val="002C5CE2"/>
    <w:rsid w:val="002C5E33"/>
    <w:rsid w:val="002C62D7"/>
    <w:rsid w:val="002C67F6"/>
    <w:rsid w:val="002C6F4C"/>
    <w:rsid w:val="002C79D8"/>
    <w:rsid w:val="002D0699"/>
    <w:rsid w:val="002D14D4"/>
    <w:rsid w:val="002D1C6B"/>
    <w:rsid w:val="002D253E"/>
    <w:rsid w:val="002D4932"/>
    <w:rsid w:val="002D494D"/>
    <w:rsid w:val="002D4B34"/>
    <w:rsid w:val="002D4FB3"/>
    <w:rsid w:val="002D6A47"/>
    <w:rsid w:val="002D7120"/>
    <w:rsid w:val="002D7761"/>
    <w:rsid w:val="002E0F66"/>
    <w:rsid w:val="002E12ED"/>
    <w:rsid w:val="002E1F82"/>
    <w:rsid w:val="002E25B6"/>
    <w:rsid w:val="002E4076"/>
    <w:rsid w:val="002E49DA"/>
    <w:rsid w:val="002E5B3C"/>
    <w:rsid w:val="002E64DA"/>
    <w:rsid w:val="002E7A37"/>
    <w:rsid w:val="002F15DE"/>
    <w:rsid w:val="002F1833"/>
    <w:rsid w:val="002F1ED8"/>
    <w:rsid w:val="002F22E1"/>
    <w:rsid w:val="002F26C8"/>
    <w:rsid w:val="002F3510"/>
    <w:rsid w:val="002F3A3B"/>
    <w:rsid w:val="002F408A"/>
    <w:rsid w:val="002F457D"/>
    <w:rsid w:val="002F5467"/>
    <w:rsid w:val="002F60B9"/>
    <w:rsid w:val="00303196"/>
    <w:rsid w:val="0030323B"/>
    <w:rsid w:val="003051CE"/>
    <w:rsid w:val="003052DA"/>
    <w:rsid w:val="00305390"/>
    <w:rsid w:val="003072FF"/>
    <w:rsid w:val="00307489"/>
    <w:rsid w:val="00307823"/>
    <w:rsid w:val="00307D49"/>
    <w:rsid w:val="00310445"/>
    <w:rsid w:val="00311815"/>
    <w:rsid w:val="0031317D"/>
    <w:rsid w:val="00313598"/>
    <w:rsid w:val="00314025"/>
    <w:rsid w:val="0031507D"/>
    <w:rsid w:val="0031508C"/>
    <w:rsid w:val="00315370"/>
    <w:rsid w:val="00317213"/>
    <w:rsid w:val="00317425"/>
    <w:rsid w:val="003177E9"/>
    <w:rsid w:val="00317973"/>
    <w:rsid w:val="0032434C"/>
    <w:rsid w:val="00324B88"/>
    <w:rsid w:val="0032540F"/>
    <w:rsid w:val="00325B5C"/>
    <w:rsid w:val="00325CAF"/>
    <w:rsid w:val="00325CEB"/>
    <w:rsid w:val="00327AED"/>
    <w:rsid w:val="003307A3"/>
    <w:rsid w:val="003318F7"/>
    <w:rsid w:val="00331ED6"/>
    <w:rsid w:val="0033203D"/>
    <w:rsid w:val="00332C3F"/>
    <w:rsid w:val="00333F38"/>
    <w:rsid w:val="00333F4D"/>
    <w:rsid w:val="003342EA"/>
    <w:rsid w:val="00334712"/>
    <w:rsid w:val="00334750"/>
    <w:rsid w:val="0033563F"/>
    <w:rsid w:val="003357DF"/>
    <w:rsid w:val="00335969"/>
    <w:rsid w:val="00335FC3"/>
    <w:rsid w:val="003362EF"/>
    <w:rsid w:val="003364ED"/>
    <w:rsid w:val="0033776D"/>
    <w:rsid w:val="00337D58"/>
    <w:rsid w:val="00340793"/>
    <w:rsid w:val="00341DF1"/>
    <w:rsid w:val="00341E32"/>
    <w:rsid w:val="0034201C"/>
    <w:rsid w:val="003424BC"/>
    <w:rsid w:val="00342E54"/>
    <w:rsid w:val="00343BFE"/>
    <w:rsid w:val="0034495C"/>
    <w:rsid w:val="00345600"/>
    <w:rsid w:val="00345D70"/>
    <w:rsid w:val="003460E8"/>
    <w:rsid w:val="0034657F"/>
    <w:rsid w:val="003475B7"/>
    <w:rsid w:val="00347C0B"/>
    <w:rsid w:val="003503FB"/>
    <w:rsid w:val="00351157"/>
    <w:rsid w:val="003513D9"/>
    <w:rsid w:val="00351692"/>
    <w:rsid w:val="003524D4"/>
    <w:rsid w:val="00352602"/>
    <w:rsid w:val="003529F0"/>
    <w:rsid w:val="00352D61"/>
    <w:rsid w:val="00353E21"/>
    <w:rsid w:val="00354B5B"/>
    <w:rsid w:val="00354CCA"/>
    <w:rsid w:val="00355130"/>
    <w:rsid w:val="0035523B"/>
    <w:rsid w:val="00355E26"/>
    <w:rsid w:val="00357074"/>
    <w:rsid w:val="00357D38"/>
    <w:rsid w:val="00360571"/>
    <w:rsid w:val="003647EE"/>
    <w:rsid w:val="00364ABE"/>
    <w:rsid w:val="00364E71"/>
    <w:rsid w:val="003652FA"/>
    <w:rsid w:val="003657A1"/>
    <w:rsid w:val="00365F94"/>
    <w:rsid w:val="003667F4"/>
    <w:rsid w:val="00367E74"/>
    <w:rsid w:val="00374100"/>
    <w:rsid w:val="00374491"/>
    <w:rsid w:val="003746EC"/>
    <w:rsid w:val="00374C7B"/>
    <w:rsid w:val="003753CB"/>
    <w:rsid w:val="0037576F"/>
    <w:rsid w:val="00375924"/>
    <w:rsid w:val="00375D22"/>
    <w:rsid w:val="00377212"/>
    <w:rsid w:val="0037779F"/>
    <w:rsid w:val="003802AB"/>
    <w:rsid w:val="0038033E"/>
    <w:rsid w:val="00381224"/>
    <w:rsid w:val="0038270F"/>
    <w:rsid w:val="00382A9B"/>
    <w:rsid w:val="00383DFF"/>
    <w:rsid w:val="00384024"/>
    <w:rsid w:val="00384624"/>
    <w:rsid w:val="00384C38"/>
    <w:rsid w:val="00385230"/>
    <w:rsid w:val="0038533A"/>
    <w:rsid w:val="003853D1"/>
    <w:rsid w:val="0038556F"/>
    <w:rsid w:val="0038627B"/>
    <w:rsid w:val="00386A2C"/>
    <w:rsid w:val="00387C75"/>
    <w:rsid w:val="00392EAD"/>
    <w:rsid w:val="0039308F"/>
    <w:rsid w:val="00393FDF"/>
    <w:rsid w:val="0039544F"/>
    <w:rsid w:val="00395FBF"/>
    <w:rsid w:val="00396407"/>
    <w:rsid w:val="00396537"/>
    <w:rsid w:val="00396BD2"/>
    <w:rsid w:val="00397749"/>
    <w:rsid w:val="00397C1F"/>
    <w:rsid w:val="00397EAC"/>
    <w:rsid w:val="003A043B"/>
    <w:rsid w:val="003A0888"/>
    <w:rsid w:val="003A1BDF"/>
    <w:rsid w:val="003A1E45"/>
    <w:rsid w:val="003A22E4"/>
    <w:rsid w:val="003A2A91"/>
    <w:rsid w:val="003A3E1A"/>
    <w:rsid w:val="003A4859"/>
    <w:rsid w:val="003A573C"/>
    <w:rsid w:val="003A5A73"/>
    <w:rsid w:val="003A6ABA"/>
    <w:rsid w:val="003A6B87"/>
    <w:rsid w:val="003A73E2"/>
    <w:rsid w:val="003A7AC1"/>
    <w:rsid w:val="003B046D"/>
    <w:rsid w:val="003B0FFC"/>
    <w:rsid w:val="003B1E48"/>
    <w:rsid w:val="003B2645"/>
    <w:rsid w:val="003B352C"/>
    <w:rsid w:val="003B43EA"/>
    <w:rsid w:val="003B55E1"/>
    <w:rsid w:val="003B59BC"/>
    <w:rsid w:val="003B5F97"/>
    <w:rsid w:val="003B6251"/>
    <w:rsid w:val="003B730E"/>
    <w:rsid w:val="003C13F6"/>
    <w:rsid w:val="003C1848"/>
    <w:rsid w:val="003C193F"/>
    <w:rsid w:val="003C1C0B"/>
    <w:rsid w:val="003C230D"/>
    <w:rsid w:val="003C2A8A"/>
    <w:rsid w:val="003C3614"/>
    <w:rsid w:val="003C378B"/>
    <w:rsid w:val="003C5813"/>
    <w:rsid w:val="003C5999"/>
    <w:rsid w:val="003C6107"/>
    <w:rsid w:val="003C65F6"/>
    <w:rsid w:val="003C6DF4"/>
    <w:rsid w:val="003C6E45"/>
    <w:rsid w:val="003D036D"/>
    <w:rsid w:val="003D08EF"/>
    <w:rsid w:val="003D0D20"/>
    <w:rsid w:val="003D13C3"/>
    <w:rsid w:val="003D3AE6"/>
    <w:rsid w:val="003D45B2"/>
    <w:rsid w:val="003D5234"/>
    <w:rsid w:val="003D5E18"/>
    <w:rsid w:val="003D62FF"/>
    <w:rsid w:val="003E012E"/>
    <w:rsid w:val="003E117E"/>
    <w:rsid w:val="003E4CC7"/>
    <w:rsid w:val="003E6367"/>
    <w:rsid w:val="003E77A1"/>
    <w:rsid w:val="003F02DD"/>
    <w:rsid w:val="003F077D"/>
    <w:rsid w:val="003F0EA7"/>
    <w:rsid w:val="003F15A9"/>
    <w:rsid w:val="003F1C63"/>
    <w:rsid w:val="003F28E6"/>
    <w:rsid w:val="003F3782"/>
    <w:rsid w:val="003F39F5"/>
    <w:rsid w:val="003F3BF0"/>
    <w:rsid w:val="003F422C"/>
    <w:rsid w:val="003F578F"/>
    <w:rsid w:val="003F5C3A"/>
    <w:rsid w:val="003F618E"/>
    <w:rsid w:val="003F71B6"/>
    <w:rsid w:val="003F7257"/>
    <w:rsid w:val="003F786C"/>
    <w:rsid w:val="003F7C03"/>
    <w:rsid w:val="00400B8F"/>
    <w:rsid w:val="00400BE8"/>
    <w:rsid w:val="00400DDE"/>
    <w:rsid w:val="00402233"/>
    <w:rsid w:val="0040229F"/>
    <w:rsid w:val="00402901"/>
    <w:rsid w:val="00402F67"/>
    <w:rsid w:val="00405331"/>
    <w:rsid w:val="00405645"/>
    <w:rsid w:val="00407070"/>
    <w:rsid w:val="004077FF"/>
    <w:rsid w:val="00410B17"/>
    <w:rsid w:val="004113ED"/>
    <w:rsid w:val="00411DBC"/>
    <w:rsid w:val="00413007"/>
    <w:rsid w:val="00413E93"/>
    <w:rsid w:val="00415294"/>
    <w:rsid w:val="00415730"/>
    <w:rsid w:val="0041649E"/>
    <w:rsid w:val="00416A28"/>
    <w:rsid w:val="00416B59"/>
    <w:rsid w:val="00416FC2"/>
    <w:rsid w:val="00416FC3"/>
    <w:rsid w:val="0041726F"/>
    <w:rsid w:val="004176E2"/>
    <w:rsid w:val="00417721"/>
    <w:rsid w:val="00421F25"/>
    <w:rsid w:val="00422FBD"/>
    <w:rsid w:val="00423E98"/>
    <w:rsid w:val="00423FED"/>
    <w:rsid w:val="00424018"/>
    <w:rsid w:val="0042439F"/>
    <w:rsid w:val="004259F9"/>
    <w:rsid w:val="00427A93"/>
    <w:rsid w:val="004303CD"/>
    <w:rsid w:val="00430845"/>
    <w:rsid w:val="00431F14"/>
    <w:rsid w:val="004351C1"/>
    <w:rsid w:val="004356D9"/>
    <w:rsid w:val="0043645C"/>
    <w:rsid w:val="004368A5"/>
    <w:rsid w:val="00441576"/>
    <w:rsid w:val="00441FD2"/>
    <w:rsid w:val="0044331D"/>
    <w:rsid w:val="00443687"/>
    <w:rsid w:val="00443AEA"/>
    <w:rsid w:val="00445619"/>
    <w:rsid w:val="0044747C"/>
    <w:rsid w:val="00447FD8"/>
    <w:rsid w:val="004505E9"/>
    <w:rsid w:val="0045079B"/>
    <w:rsid w:val="0045101B"/>
    <w:rsid w:val="004518C5"/>
    <w:rsid w:val="00452272"/>
    <w:rsid w:val="004525F7"/>
    <w:rsid w:val="00452636"/>
    <w:rsid w:val="0045306C"/>
    <w:rsid w:val="004535C4"/>
    <w:rsid w:val="004544EC"/>
    <w:rsid w:val="00456A61"/>
    <w:rsid w:val="00457F04"/>
    <w:rsid w:val="00460551"/>
    <w:rsid w:val="0046102E"/>
    <w:rsid w:val="00463639"/>
    <w:rsid w:val="00463727"/>
    <w:rsid w:val="004647B5"/>
    <w:rsid w:val="00470062"/>
    <w:rsid w:val="004735CA"/>
    <w:rsid w:val="00473B0E"/>
    <w:rsid w:val="00473DAE"/>
    <w:rsid w:val="00473DCA"/>
    <w:rsid w:val="0047404A"/>
    <w:rsid w:val="00475990"/>
    <w:rsid w:val="00476ACC"/>
    <w:rsid w:val="00476F44"/>
    <w:rsid w:val="00477344"/>
    <w:rsid w:val="004806C4"/>
    <w:rsid w:val="00481114"/>
    <w:rsid w:val="00482154"/>
    <w:rsid w:val="00484486"/>
    <w:rsid w:val="004849A4"/>
    <w:rsid w:val="00484CC9"/>
    <w:rsid w:val="004856CE"/>
    <w:rsid w:val="00485C49"/>
    <w:rsid w:val="00485CC3"/>
    <w:rsid w:val="004862E9"/>
    <w:rsid w:val="00486E8C"/>
    <w:rsid w:val="00487115"/>
    <w:rsid w:val="00487960"/>
    <w:rsid w:val="00490357"/>
    <w:rsid w:val="00491CFD"/>
    <w:rsid w:val="0049277D"/>
    <w:rsid w:val="00494052"/>
    <w:rsid w:val="00495682"/>
    <w:rsid w:val="00495689"/>
    <w:rsid w:val="0049695A"/>
    <w:rsid w:val="004A0C3E"/>
    <w:rsid w:val="004A1FDE"/>
    <w:rsid w:val="004A217A"/>
    <w:rsid w:val="004A37EE"/>
    <w:rsid w:val="004A387F"/>
    <w:rsid w:val="004A400B"/>
    <w:rsid w:val="004A46D6"/>
    <w:rsid w:val="004A5022"/>
    <w:rsid w:val="004A578F"/>
    <w:rsid w:val="004A6140"/>
    <w:rsid w:val="004A61E0"/>
    <w:rsid w:val="004A7971"/>
    <w:rsid w:val="004A7CB8"/>
    <w:rsid w:val="004B0726"/>
    <w:rsid w:val="004B09F7"/>
    <w:rsid w:val="004B0E89"/>
    <w:rsid w:val="004B0ECA"/>
    <w:rsid w:val="004B2004"/>
    <w:rsid w:val="004B244B"/>
    <w:rsid w:val="004B28A4"/>
    <w:rsid w:val="004B3ADD"/>
    <w:rsid w:val="004B3F90"/>
    <w:rsid w:val="004B576E"/>
    <w:rsid w:val="004C056E"/>
    <w:rsid w:val="004C0820"/>
    <w:rsid w:val="004C089E"/>
    <w:rsid w:val="004C10DA"/>
    <w:rsid w:val="004C180F"/>
    <w:rsid w:val="004C190F"/>
    <w:rsid w:val="004C1D0B"/>
    <w:rsid w:val="004C504C"/>
    <w:rsid w:val="004C56F3"/>
    <w:rsid w:val="004C5AD9"/>
    <w:rsid w:val="004D03B4"/>
    <w:rsid w:val="004D08C0"/>
    <w:rsid w:val="004D0C29"/>
    <w:rsid w:val="004D0F85"/>
    <w:rsid w:val="004D2018"/>
    <w:rsid w:val="004D342B"/>
    <w:rsid w:val="004D4171"/>
    <w:rsid w:val="004D4B19"/>
    <w:rsid w:val="004D51EB"/>
    <w:rsid w:val="004D5DC2"/>
    <w:rsid w:val="004D6BCE"/>
    <w:rsid w:val="004D6D12"/>
    <w:rsid w:val="004D7436"/>
    <w:rsid w:val="004E0674"/>
    <w:rsid w:val="004E086A"/>
    <w:rsid w:val="004E3E54"/>
    <w:rsid w:val="004E4776"/>
    <w:rsid w:val="004E5118"/>
    <w:rsid w:val="004E5409"/>
    <w:rsid w:val="004E54AF"/>
    <w:rsid w:val="004E56C0"/>
    <w:rsid w:val="004E5A7A"/>
    <w:rsid w:val="004E5AE6"/>
    <w:rsid w:val="004E6038"/>
    <w:rsid w:val="004E767C"/>
    <w:rsid w:val="004E7892"/>
    <w:rsid w:val="004E7F76"/>
    <w:rsid w:val="004F006D"/>
    <w:rsid w:val="004F1A77"/>
    <w:rsid w:val="004F279F"/>
    <w:rsid w:val="004F2B71"/>
    <w:rsid w:val="004F3371"/>
    <w:rsid w:val="004F3954"/>
    <w:rsid w:val="004F549F"/>
    <w:rsid w:val="004F6521"/>
    <w:rsid w:val="004F7109"/>
    <w:rsid w:val="004F75AD"/>
    <w:rsid w:val="004F7EB6"/>
    <w:rsid w:val="005002F1"/>
    <w:rsid w:val="0050266E"/>
    <w:rsid w:val="00503208"/>
    <w:rsid w:val="00503E20"/>
    <w:rsid w:val="005042D1"/>
    <w:rsid w:val="00504F0C"/>
    <w:rsid w:val="0050514A"/>
    <w:rsid w:val="00505DDC"/>
    <w:rsid w:val="00506291"/>
    <w:rsid w:val="00506645"/>
    <w:rsid w:val="00506A53"/>
    <w:rsid w:val="00507FEA"/>
    <w:rsid w:val="00510D6B"/>
    <w:rsid w:val="00510ED3"/>
    <w:rsid w:val="0051121D"/>
    <w:rsid w:val="0051213E"/>
    <w:rsid w:val="00513162"/>
    <w:rsid w:val="00513DF8"/>
    <w:rsid w:val="00516DEF"/>
    <w:rsid w:val="0051727E"/>
    <w:rsid w:val="005178FC"/>
    <w:rsid w:val="00520395"/>
    <w:rsid w:val="005206E8"/>
    <w:rsid w:val="00521A88"/>
    <w:rsid w:val="00522700"/>
    <w:rsid w:val="00522A66"/>
    <w:rsid w:val="0052338C"/>
    <w:rsid w:val="00523C47"/>
    <w:rsid w:val="00524070"/>
    <w:rsid w:val="00524988"/>
    <w:rsid w:val="0052508A"/>
    <w:rsid w:val="005252C1"/>
    <w:rsid w:val="00525893"/>
    <w:rsid w:val="00526461"/>
    <w:rsid w:val="005276A2"/>
    <w:rsid w:val="0053087A"/>
    <w:rsid w:val="005312B5"/>
    <w:rsid w:val="00531821"/>
    <w:rsid w:val="00532856"/>
    <w:rsid w:val="00532B86"/>
    <w:rsid w:val="005337AB"/>
    <w:rsid w:val="00533F7C"/>
    <w:rsid w:val="005346A9"/>
    <w:rsid w:val="005374A7"/>
    <w:rsid w:val="005377F3"/>
    <w:rsid w:val="00540375"/>
    <w:rsid w:val="00540850"/>
    <w:rsid w:val="00540DDB"/>
    <w:rsid w:val="00540DFA"/>
    <w:rsid w:val="00542AFF"/>
    <w:rsid w:val="00544502"/>
    <w:rsid w:val="00544FDE"/>
    <w:rsid w:val="005450F9"/>
    <w:rsid w:val="005452AB"/>
    <w:rsid w:val="0054587D"/>
    <w:rsid w:val="0055082B"/>
    <w:rsid w:val="00551ACB"/>
    <w:rsid w:val="00551BDB"/>
    <w:rsid w:val="00552FAE"/>
    <w:rsid w:val="005539D1"/>
    <w:rsid w:val="00556871"/>
    <w:rsid w:val="00556EE8"/>
    <w:rsid w:val="005572A7"/>
    <w:rsid w:val="005575AD"/>
    <w:rsid w:val="00557ECA"/>
    <w:rsid w:val="00561136"/>
    <w:rsid w:val="005615D1"/>
    <w:rsid w:val="00562275"/>
    <w:rsid w:val="005629F3"/>
    <w:rsid w:val="00563866"/>
    <w:rsid w:val="0056419B"/>
    <w:rsid w:val="005642D4"/>
    <w:rsid w:val="00564C56"/>
    <w:rsid w:val="0056549B"/>
    <w:rsid w:val="00565934"/>
    <w:rsid w:val="005667BE"/>
    <w:rsid w:val="00566BCA"/>
    <w:rsid w:val="0056720F"/>
    <w:rsid w:val="005676A6"/>
    <w:rsid w:val="00567B56"/>
    <w:rsid w:val="00571146"/>
    <w:rsid w:val="00572C4C"/>
    <w:rsid w:val="00572D6A"/>
    <w:rsid w:val="0057318B"/>
    <w:rsid w:val="00573BE9"/>
    <w:rsid w:val="00575B35"/>
    <w:rsid w:val="00575D83"/>
    <w:rsid w:val="00576112"/>
    <w:rsid w:val="00576135"/>
    <w:rsid w:val="005772FF"/>
    <w:rsid w:val="0058086E"/>
    <w:rsid w:val="00581085"/>
    <w:rsid w:val="00581B3E"/>
    <w:rsid w:val="00581C5B"/>
    <w:rsid w:val="005825E4"/>
    <w:rsid w:val="005827A7"/>
    <w:rsid w:val="00583C61"/>
    <w:rsid w:val="0058458F"/>
    <w:rsid w:val="00584670"/>
    <w:rsid w:val="00585DED"/>
    <w:rsid w:val="00585FE6"/>
    <w:rsid w:val="00586199"/>
    <w:rsid w:val="00586C3A"/>
    <w:rsid w:val="00587FD7"/>
    <w:rsid w:val="00590C08"/>
    <w:rsid w:val="0059178D"/>
    <w:rsid w:val="005918BF"/>
    <w:rsid w:val="00592012"/>
    <w:rsid w:val="0059260F"/>
    <w:rsid w:val="00592C7D"/>
    <w:rsid w:val="00593606"/>
    <w:rsid w:val="00593DEA"/>
    <w:rsid w:val="00593F33"/>
    <w:rsid w:val="00595DE3"/>
    <w:rsid w:val="00596B15"/>
    <w:rsid w:val="005A0418"/>
    <w:rsid w:val="005A04D3"/>
    <w:rsid w:val="005A08E2"/>
    <w:rsid w:val="005A0A85"/>
    <w:rsid w:val="005A0B40"/>
    <w:rsid w:val="005A1227"/>
    <w:rsid w:val="005A1DFA"/>
    <w:rsid w:val="005A2709"/>
    <w:rsid w:val="005A3AC5"/>
    <w:rsid w:val="005A6728"/>
    <w:rsid w:val="005A74C0"/>
    <w:rsid w:val="005A76FC"/>
    <w:rsid w:val="005A7F21"/>
    <w:rsid w:val="005B0115"/>
    <w:rsid w:val="005B0A58"/>
    <w:rsid w:val="005B1980"/>
    <w:rsid w:val="005B4458"/>
    <w:rsid w:val="005B44D6"/>
    <w:rsid w:val="005B4587"/>
    <w:rsid w:val="005B5022"/>
    <w:rsid w:val="005B5238"/>
    <w:rsid w:val="005C1A38"/>
    <w:rsid w:val="005C1B50"/>
    <w:rsid w:val="005C25B2"/>
    <w:rsid w:val="005C375C"/>
    <w:rsid w:val="005C4FC7"/>
    <w:rsid w:val="005C54F8"/>
    <w:rsid w:val="005C6618"/>
    <w:rsid w:val="005C6DD6"/>
    <w:rsid w:val="005C6FED"/>
    <w:rsid w:val="005C7A90"/>
    <w:rsid w:val="005D2DF2"/>
    <w:rsid w:val="005D5867"/>
    <w:rsid w:val="005D61FB"/>
    <w:rsid w:val="005D6B97"/>
    <w:rsid w:val="005D7207"/>
    <w:rsid w:val="005D733A"/>
    <w:rsid w:val="005D7955"/>
    <w:rsid w:val="005E1BA0"/>
    <w:rsid w:val="005E1C47"/>
    <w:rsid w:val="005E3052"/>
    <w:rsid w:val="005E3166"/>
    <w:rsid w:val="005E344D"/>
    <w:rsid w:val="005E3925"/>
    <w:rsid w:val="005E55BD"/>
    <w:rsid w:val="005E60FE"/>
    <w:rsid w:val="005E6F4D"/>
    <w:rsid w:val="005F16EA"/>
    <w:rsid w:val="005F2A1A"/>
    <w:rsid w:val="005F36AB"/>
    <w:rsid w:val="005F37A7"/>
    <w:rsid w:val="005F776E"/>
    <w:rsid w:val="00600568"/>
    <w:rsid w:val="00600D06"/>
    <w:rsid w:val="0060104D"/>
    <w:rsid w:val="00601FF3"/>
    <w:rsid w:val="006023B1"/>
    <w:rsid w:val="0060343A"/>
    <w:rsid w:val="00603458"/>
    <w:rsid w:val="0060488C"/>
    <w:rsid w:val="00605684"/>
    <w:rsid w:val="006056EE"/>
    <w:rsid w:val="00606056"/>
    <w:rsid w:val="0060651B"/>
    <w:rsid w:val="00607D70"/>
    <w:rsid w:val="006103C1"/>
    <w:rsid w:val="006113E6"/>
    <w:rsid w:val="006115B3"/>
    <w:rsid w:val="00611F30"/>
    <w:rsid w:val="0061273C"/>
    <w:rsid w:val="00613978"/>
    <w:rsid w:val="00614681"/>
    <w:rsid w:val="006147F7"/>
    <w:rsid w:val="006153C9"/>
    <w:rsid w:val="006158D8"/>
    <w:rsid w:val="00616CFC"/>
    <w:rsid w:val="006170F6"/>
    <w:rsid w:val="00617127"/>
    <w:rsid w:val="006174BC"/>
    <w:rsid w:val="00617C4B"/>
    <w:rsid w:val="006202C8"/>
    <w:rsid w:val="006203AC"/>
    <w:rsid w:val="00620C1C"/>
    <w:rsid w:val="00621BBA"/>
    <w:rsid w:val="0062289D"/>
    <w:rsid w:val="00623485"/>
    <w:rsid w:val="006238A4"/>
    <w:rsid w:val="00623D09"/>
    <w:rsid w:val="00624132"/>
    <w:rsid w:val="006252D7"/>
    <w:rsid w:val="00625EAE"/>
    <w:rsid w:val="00626086"/>
    <w:rsid w:val="00626674"/>
    <w:rsid w:val="006276E5"/>
    <w:rsid w:val="00630442"/>
    <w:rsid w:val="00630455"/>
    <w:rsid w:val="006333D8"/>
    <w:rsid w:val="006335FC"/>
    <w:rsid w:val="00633B8B"/>
    <w:rsid w:val="00634B89"/>
    <w:rsid w:val="006379C0"/>
    <w:rsid w:val="006401C5"/>
    <w:rsid w:val="00640256"/>
    <w:rsid w:val="0064046A"/>
    <w:rsid w:val="006407E5"/>
    <w:rsid w:val="00640F20"/>
    <w:rsid w:val="00642392"/>
    <w:rsid w:val="00643298"/>
    <w:rsid w:val="006439F6"/>
    <w:rsid w:val="00643C2D"/>
    <w:rsid w:val="00643F38"/>
    <w:rsid w:val="00646806"/>
    <w:rsid w:val="006468C1"/>
    <w:rsid w:val="00646C2A"/>
    <w:rsid w:val="00647732"/>
    <w:rsid w:val="006477EE"/>
    <w:rsid w:val="00647D83"/>
    <w:rsid w:val="00652A39"/>
    <w:rsid w:val="006572C7"/>
    <w:rsid w:val="00660A3A"/>
    <w:rsid w:val="00660F52"/>
    <w:rsid w:val="00661BE3"/>
    <w:rsid w:val="00661EE0"/>
    <w:rsid w:val="00662EBF"/>
    <w:rsid w:val="00664883"/>
    <w:rsid w:val="006651F4"/>
    <w:rsid w:val="00665B20"/>
    <w:rsid w:val="00665C98"/>
    <w:rsid w:val="00665D6B"/>
    <w:rsid w:val="00666E44"/>
    <w:rsid w:val="00671404"/>
    <w:rsid w:val="006730EC"/>
    <w:rsid w:val="00673809"/>
    <w:rsid w:val="00673D5C"/>
    <w:rsid w:val="00673D68"/>
    <w:rsid w:val="00673D78"/>
    <w:rsid w:val="00674F4A"/>
    <w:rsid w:val="00675AEE"/>
    <w:rsid w:val="00682E1C"/>
    <w:rsid w:val="0068498C"/>
    <w:rsid w:val="00685267"/>
    <w:rsid w:val="006863B7"/>
    <w:rsid w:val="006871DA"/>
    <w:rsid w:val="00687BD3"/>
    <w:rsid w:val="00687CFD"/>
    <w:rsid w:val="006907BB"/>
    <w:rsid w:val="00691BFF"/>
    <w:rsid w:val="006923D2"/>
    <w:rsid w:val="00692DD9"/>
    <w:rsid w:val="0069367E"/>
    <w:rsid w:val="00693740"/>
    <w:rsid w:val="00693EA1"/>
    <w:rsid w:val="0069450A"/>
    <w:rsid w:val="0069475C"/>
    <w:rsid w:val="006947AA"/>
    <w:rsid w:val="00695FF9"/>
    <w:rsid w:val="006A063B"/>
    <w:rsid w:val="006A17E3"/>
    <w:rsid w:val="006A1936"/>
    <w:rsid w:val="006A19CF"/>
    <w:rsid w:val="006A1F17"/>
    <w:rsid w:val="006A26FC"/>
    <w:rsid w:val="006A2E51"/>
    <w:rsid w:val="006A3E7B"/>
    <w:rsid w:val="006A4904"/>
    <w:rsid w:val="006A4A0A"/>
    <w:rsid w:val="006A4BD6"/>
    <w:rsid w:val="006A4D20"/>
    <w:rsid w:val="006A6AEE"/>
    <w:rsid w:val="006A7437"/>
    <w:rsid w:val="006A78B7"/>
    <w:rsid w:val="006A7A4D"/>
    <w:rsid w:val="006B015F"/>
    <w:rsid w:val="006B0670"/>
    <w:rsid w:val="006B233E"/>
    <w:rsid w:val="006B396C"/>
    <w:rsid w:val="006B3FA9"/>
    <w:rsid w:val="006B4C46"/>
    <w:rsid w:val="006B4E17"/>
    <w:rsid w:val="006B5EB8"/>
    <w:rsid w:val="006C0486"/>
    <w:rsid w:val="006C1033"/>
    <w:rsid w:val="006C14A3"/>
    <w:rsid w:val="006C2D68"/>
    <w:rsid w:val="006C30DF"/>
    <w:rsid w:val="006C3524"/>
    <w:rsid w:val="006C5E66"/>
    <w:rsid w:val="006C76C4"/>
    <w:rsid w:val="006D0F94"/>
    <w:rsid w:val="006D1C86"/>
    <w:rsid w:val="006D1ECF"/>
    <w:rsid w:val="006D35F4"/>
    <w:rsid w:val="006D3A2F"/>
    <w:rsid w:val="006D4250"/>
    <w:rsid w:val="006D458D"/>
    <w:rsid w:val="006D4F39"/>
    <w:rsid w:val="006D4F5A"/>
    <w:rsid w:val="006D6AFD"/>
    <w:rsid w:val="006D7CFF"/>
    <w:rsid w:val="006E022D"/>
    <w:rsid w:val="006E0B9C"/>
    <w:rsid w:val="006E0F6D"/>
    <w:rsid w:val="006E173E"/>
    <w:rsid w:val="006E1A86"/>
    <w:rsid w:val="006E2ED8"/>
    <w:rsid w:val="006E333A"/>
    <w:rsid w:val="006E3D69"/>
    <w:rsid w:val="006E3D9F"/>
    <w:rsid w:val="006E570F"/>
    <w:rsid w:val="006E7910"/>
    <w:rsid w:val="006E792A"/>
    <w:rsid w:val="006F12C1"/>
    <w:rsid w:val="006F1840"/>
    <w:rsid w:val="006F1E09"/>
    <w:rsid w:val="006F3A73"/>
    <w:rsid w:val="006F3CF1"/>
    <w:rsid w:val="006F5575"/>
    <w:rsid w:val="006F565E"/>
    <w:rsid w:val="006F6C1A"/>
    <w:rsid w:val="006F77B9"/>
    <w:rsid w:val="006F791E"/>
    <w:rsid w:val="006F79F8"/>
    <w:rsid w:val="006F7C76"/>
    <w:rsid w:val="00701C35"/>
    <w:rsid w:val="00702474"/>
    <w:rsid w:val="00702E12"/>
    <w:rsid w:val="0070344F"/>
    <w:rsid w:val="00703A4D"/>
    <w:rsid w:val="00703D63"/>
    <w:rsid w:val="00706B3C"/>
    <w:rsid w:val="0070755C"/>
    <w:rsid w:val="00707DAA"/>
    <w:rsid w:val="00710682"/>
    <w:rsid w:val="00710F0A"/>
    <w:rsid w:val="00711AF8"/>
    <w:rsid w:val="00712398"/>
    <w:rsid w:val="0071341A"/>
    <w:rsid w:val="007141EA"/>
    <w:rsid w:val="00714BFC"/>
    <w:rsid w:val="00714D6F"/>
    <w:rsid w:val="00716501"/>
    <w:rsid w:val="007175AD"/>
    <w:rsid w:val="007206C4"/>
    <w:rsid w:val="00721045"/>
    <w:rsid w:val="007218BA"/>
    <w:rsid w:val="00722597"/>
    <w:rsid w:val="00722619"/>
    <w:rsid w:val="0072291D"/>
    <w:rsid w:val="00723F53"/>
    <w:rsid w:val="007256D0"/>
    <w:rsid w:val="007259CC"/>
    <w:rsid w:val="00725BF5"/>
    <w:rsid w:val="00726205"/>
    <w:rsid w:val="007269B2"/>
    <w:rsid w:val="00726CFA"/>
    <w:rsid w:val="007270D9"/>
    <w:rsid w:val="00730569"/>
    <w:rsid w:val="00730574"/>
    <w:rsid w:val="00730843"/>
    <w:rsid w:val="00730BCC"/>
    <w:rsid w:val="00730E2F"/>
    <w:rsid w:val="0073148F"/>
    <w:rsid w:val="007316F7"/>
    <w:rsid w:val="00732241"/>
    <w:rsid w:val="00733C31"/>
    <w:rsid w:val="00735BB5"/>
    <w:rsid w:val="007363EF"/>
    <w:rsid w:val="00736CA1"/>
    <w:rsid w:val="00737296"/>
    <w:rsid w:val="007377D7"/>
    <w:rsid w:val="00740332"/>
    <w:rsid w:val="0074051C"/>
    <w:rsid w:val="00740F2B"/>
    <w:rsid w:val="0074155C"/>
    <w:rsid w:val="00741D9F"/>
    <w:rsid w:val="007440BA"/>
    <w:rsid w:val="00744AEC"/>
    <w:rsid w:val="00744AF7"/>
    <w:rsid w:val="00745DD9"/>
    <w:rsid w:val="00747DFF"/>
    <w:rsid w:val="00750F2F"/>
    <w:rsid w:val="0075143D"/>
    <w:rsid w:val="007519AE"/>
    <w:rsid w:val="00752AD6"/>
    <w:rsid w:val="00752EBA"/>
    <w:rsid w:val="0075341A"/>
    <w:rsid w:val="00755B84"/>
    <w:rsid w:val="0075726F"/>
    <w:rsid w:val="00757CE5"/>
    <w:rsid w:val="00760012"/>
    <w:rsid w:val="00760F2F"/>
    <w:rsid w:val="00760F6E"/>
    <w:rsid w:val="00761B44"/>
    <w:rsid w:val="0076252B"/>
    <w:rsid w:val="00762997"/>
    <w:rsid w:val="00763DC9"/>
    <w:rsid w:val="0076590F"/>
    <w:rsid w:val="007664EC"/>
    <w:rsid w:val="00766D97"/>
    <w:rsid w:val="00767164"/>
    <w:rsid w:val="00767F15"/>
    <w:rsid w:val="007710AA"/>
    <w:rsid w:val="0077203D"/>
    <w:rsid w:val="007749C5"/>
    <w:rsid w:val="00775440"/>
    <w:rsid w:val="00775635"/>
    <w:rsid w:val="00775C0F"/>
    <w:rsid w:val="0077723B"/>
    <w:rsid w:val="007773F9"/>
    <w:rsid w:val="00777BDA"/>
    <w:rsid w:val="00780450"/>
    <w:rsid w:val="00780584"/>
    <w:rsid w:val="00780681"/>
    <w:rsid w:val="007810A1"/>
    <w:rsid w:val="00781900"/>
    <w:rsid w:val="00781E1F"/>
    <w:rsid w:val="00782125"/>
    <w:rsid w:val="00782BF3"/>
    <w:rsid w:val="00782F43"/>
    <w:rsid w:val="00783F59"/>
    <w:rsid w:val="00784115"/>
    <w:rsid w:val="0078484D"/>
    <w:rsid w:val="00785A3B"/>
    <w:rsid w:val="007879FA"/>
    <w:rsid w:val="007900BF"/>
    <w:rsid w:val="007904F6"/>
    <w:rsid w:val="00790C03"/>
    <w:rsid w:val="007912B1"/>
    <w:rsid w:val="007915D1"/>
    <w:rsid w:val="00791ACF"/>
    <w:rsid w:val="00792F09"/>
    <w:rsid w:val="00794B7A"/>
    <w:rsid w:val="0079656D"/>
    <w:rsid w:val="00796968"/>
    <w:rsid w:val="007A1393"/>
    <w:rsid w:val="007A3DED"/>
    <w:rsid w:val="007A4489"/>
    <w:rsid w:val="007A4CEB"/>
    <w:rsid w:val="007A534F"/>
    <w:rsid w:val="007A6162"/>
    <w:rsid w:val="007A61CC"/>
    <w:rsid w:val="007A70ED"/>
    <w:rsid w:val="007A7D33"/>
    <w:rsid w:val="007B0080"/>
    <w:rsid w:val="007B04C3"/>
    <w:rsid w:val="007B113A"/>
    <w:rsid w:val="007B16FA"/>
    <w:rsid w:val="007B26EC"/>
    <w:rsid w:val="007B40B9"/>
    <w:rsid w:val="007B465E"/>
    <w:rsid w:val="007B4B67"/>
    <w:rsid w:val="007B7507"/>
    <w:rsid w:val="007C0C34"/>
    <w:rsid w:val="007C0DFC"/>
    <w:rsid w:val="007C15B2"/>
    <w:rsid w:val="007C1F67"/>
    <w:rsid w:val="007C202C"/>
    <w:rsid w:val="007C255D"/>
    <w:rsid w:val="007C2564"/>
    <w:rsid w:val="007C30D5"/>
    <w:rsid w:val="007C434C"/>
    <w:rsid w:val="007C4720"/>
    <w:rsid w:val="007C4D21"/>
    <w:rsid w:val="007C520A"/>
    <w:rsid w:val="007C73AB"/>
    <w:rsid w:val="007D2522"/>
    <w:rsid w:val="007D29EE"/>
    <w:rsid w:val="007D2EC8"/>
    <w:rsid w:val="007D401E"/>
    <w:rsid w:val="007D78AB"/>
    <w:rsid w:val="007E122E"/>
    <w:rsid w:val="007E308F"/>
    <w:rsid w:val="007E34FB"/>
    <w:rsid w:val="007E384F"/>
    <w:rsid w:val="007E3A74"/>
    <w:rsid w:val="007E4499"/>
    <w:rsid w:val="007E486D"/>
    <w:rsid w:val="007E4DDD"/>
    <w:rsid w:val="007E4E37"/>
    <w:rsid w:val="007E61BE"/>
    <w:rsid w:val="007E6621"/>
    <w:rsid w:val="007E6782"/>
    <w:rsid w:val="007E7165"/>
    <w:rsid w:val="007E7F87"/>
    <w:rsid w:val="007F01E5"/>
    <w:rsid w:val="007F0BF8"/>
    <w:rsid w:val="007F266A"/>
    <w:rsid w:val="007F26DD"/>
    <w:rsid w:val="007F2886"/>
    <w:rsid w:val="007F2F61"/>
    <w:rsid w:val="007F2FD1"/>
    <w:rsid w:val="007F3CEA"/>
    <w:rsid w:val="007F3D91"/>
    <w:rsid w:val="007F3EDC"/>
    <w:rsid w:val="007F5706"/>
    <w:rsid w:val="007F7B8E"/>
    <w:rsid w:val="007F7D15"/>
    <w:rsid w:val="008003D8"/>
    <w:rsid w:val="00801CC7"/>
    <w:rsid w:val="00802307"/>
    <w:rsid w:val="00803700"/>
    <w:rsid w:val="008038D6"/>
    <w:rsid w:val="00803C04"/>
    <w:rsid w:val="00805F31"/>
    <w:rsid w:val="00806CDC"/>
    <w:rsid w:val="00806E15"/>
    <w:rsid w:val="00807E91"/>
    <w:rsid w:val="0081010D"/>
    <w:rsid w:val="00813335"/>
    <w:rsid w:val="008133D7"/>
    <w:rsid w:val="008138F6"/>
    <w:rsid w:val="00813B18"/>
    <w:rsid w:val="008169B2"/>
    <w:rsid w:val="00817753"/>
    <w:rsid w:val="00820288"/>
    <w:rsid w:val="00824567"/>
    <w:rsid w:val="00824E71"/>
    <w:rsid w:val="00824E90"/>
    <w:rsid w:val="00826051"/>
    <w:rsid w:val="008306AC"/>
    <w:rsid w:val="00831ADF"/>
    <w:rsid w:val="00831BBC"/>
    <w:rsid w:val="00833A8B"/>
    <w:rsid w:val="008345CD"/>
    <w:rsid w:val="00834AF0"/>
    <w:rsid w:val="00836628"/>
    <w:rsid w:val="00836C07"/>
    <w:rsid w:val="00837080"/>
    <w:rsid w:val="00837598"/>
    <w:rsid w:val="008401B1"/>
    <w:rsid w:val="00842EF0"/>
    <w:rsid w:val="00844160"/>
    <w:rsid w:val="008445DB"/>
    <w:rsid w:val="008460CA"/>
    <w:rsid w:val="008460EA"/>
    <w:rsid w:val="008468FA"/>
    <w:rsid w:val="00846E9B"/>
    <w:rsid w:val="008477B5"/>
    <w:rsid w:val="0085054B"/>
    <w:rsid w:val="00850A83"/>
    <w:rsid w:val="00851A94"/>
    <w:rsid w:val="00852EEA"/>
    <w:rsid w:val="00853130"/>
    <w:rsid w:val="00853284"/>
    <w:rsid w:val="00853AEF"/>
    <w:rsid w:val="00853B2B"/>
    <w:rsid w:val="00853BF6"/>
    <w:rsid w:val="008540D7"/>
    <w:rsid w:val="008555F2"/>
    <w:rsid w:val="008563E1"/>
    <w:rsid w:val="00856495"/>
    <w:rsid w:val="0085658F"/>
    <w:rsid w:val="00860042"/>
    <w:rsid w:val="00860290"/>
    <w:rsid w:val="0086092D"/>
    <w:rsid w:val="00860D36"/>
    <w:rsid w:val="00861242"/>
    <w:rsid w:val="008616D6"/>
    <w:rsid w:val="00861822"/>
    <w:rsid w:val="00862AB2"/>
    <w:rsid w:val="00862C33"/>
    <w:rsid w:val="00862CAC"/>
    <w:rsid w:val="0086311C"/>
    <w:rsid w:val="008632CA"/>
    <w:rsid w:val="00864632"/>
    <w:rsid w:val="00865112"/>
    <w:rsid w:val="00866152"/>
    <w:rsid w:val="008670C2"/>
    <w:rsid w:val="008670D9"/>
    <w:rsid w:val="00867109"/>
    <w:rsid w:val="00867245"/>
    <w:rsid w:val="00867980"/>
    <w:rsid w:val="00867ECE"/>
    <w:rsid w:val="00867F2A"/>
    <w:rsid w:val="00870495"/>
    <w:rsid w:val="0087057D"/>
    <w:rsid w:val="00870DB5"/>
    <w:rsid w:val="0087128E"/>
    <w:rsid w:val="0087137C"/>
    <w:rsid w:val="00871C3D"/>
    <w:rsid w:val="00872A34"/>
    <w:rsid w:val="0087316F"/>
    <w:rsid w:val="00873AE2"/>
    <w:rsid w:val="00875C45"/>
    <w:rsid w:val="00876B86"/>
    <w:rsid w:val="00877F3D"/>
    <w:rsid w:val="0088090B"/>
    <w:rsid w:val="00880D98"/>
    <w:rsid w:val="00881111"/>
    <w:rsid w:val="0088163F"/>
    <w:rsid w:val="00882805"/>
    <w:rsid w:val="00882963"/>
    <w:rsid w:val="00882AF7"/>
    <w:rsid w:val="0088403F"/>
    <w:rsid w:val="00884668"/>
    <w:rsid w:val="00884BC1"/>
    <w:rsid w:val="0088509A"/>
    <w:rsid w:val="008856C4"/>
    <w:rsid w:val="00887844"/>
    <w:rsid w:val="0089021D"/>
    <w:rsid w:val="00890669"/>
    <w:rsid w:val="0089295F"/>
    <w:rsid w:val="00892CB2"/>
    <w:rsid w:val="0089342D"/>
    <w:rsid w:val="008957CF"/>
    <w:rsid w:val="00895A5D"/>
    <w:rsid w:val="00895DFD"/>
    <w:rsid w:val="0089686C"/>
    <w:rsid w:val="00896E08"/>
    <w:rsid w:val="0089772C"/>
    <w:rsid w:val="008A0E2F"/>
    <w:rsid w:val="008A135E"/>
    <w:rsid w:val="008A1465"/>
    <w:rsid w:val="008A146C"/>
    <w:rsid w:val="008A1ECE"/>
    <w:rsid w:val="008A2F61"/>
    <w:rsid w:val="008A39FC"/>
    <w:rsid w:val="008A3A9B"/>
    <w:rsid w:val="008A4027"/>
    <w:rsid w:val="008A4533"/>
    <w:rsid w:val="008A486C"/>
    <w:rsid w:val="008A4A4B"/>
    <w:rsid w:val="008A4C01"/>
    <w:rsid w:val="008A54D4"/>
    <w:rsid w:val="008A59A5"/>
    <w:rsid w:val="008A69CE"/>
    <w:rsid w:val="008A6D82"/>
    <w:rsid w:val="008A6DB2"/>
    <w:rsid w:val="008B0393"/>
    <w:rsid w:val="008B0433"/>
    <w:rsid w:val="008B2A8A"/>
    <w:rsid w:val="008B4F11"/>
    <w:rsid w:val="008B5620"/>
    <w:rsid w:val="008B75DC"/>
    <w:rsid w:val="008C0069"/>
    <w:rsid w:val="008C069D"/>
    <w:rsid w:val="008C0A25"/>
    <w:rsid w:val="008C1079"/>
    <w:rsid w:val="008C1651"/>
    <w:rsid w:val="008C18D1"/>
    <w:rsid w:val="008C1E81"/>
    <w:rsid w:val="008C2380"/>
    <w:rsid w:val="008C2AD9"/>
    <w:rsid w:val="008C3704"/>
    <w:rsid w:val="008C4EB0"/>
    <w:rsid w:val="008C6633"/>
    <w:rsid w:val="008C6B44"/>
    <w:rsid w:val="008C7150"/>
    <w:rsid w:val="008C76E7"/>
    <w:rsid w:val="008C7974"/>
    <w:rsid w:val="008C797F"/>
    <w:rsid w:val="008C7B91"/>
    <w:rsid w:val="008C7BC9"/>
    <w:rsid w:val="008D0A5D"/>
    <w:rsid w:val="008D0C83"/>
    <w:rsid w:val="008D0FBB"/>
    <w:rsid w:val="008D1195"/>
    <w:rsid w:val="008D12FE"/>
    <w:rsid w:val="008D1A97"/>
    <w:rsid w:val="008D33AE"/>
    <w:rsid w:val="008D3444"/>
    <w:rsid w:val="008D6279"/>
    <w:rsid w:val="008D69E3"/>
    <w:rsid w:val="008D7E37"/>
    <w:rsid w:val="008E0869"/>
    <w:rsid w:val="008E2AC0"/>
    <w:rsid w:val="008E457E"/>
    <w:rsid w:val="008E5D57"/>
    <w:rsid w:val="008E5FD6"/>
    <w:rsid w:val="008E62D2"/>
    <w:rsid w:val="008E678B"/>
    <w:rsid w:val="008F0F27"/>
    <w:rsid w:val="008F10FD"/>
    <w:rsid w:val="008F1604"/>
    <w:rsid w:val="008F1739"/>
    <w:rsid w:val="008F1A83"/>
    <w:rsid w:val="008F1B7B"/>
    <w:rsid w:val="008F23CA"/>
    <w:rsid w:val="008F27E8"/>
    <w:rsid w:val="008F2DBA"/>
    <w:rsid w:val="008F3867"/>
    <w:rsid w:val="008F495D"/>
    <w:rsid w:val="008F4D7B"/>
    <w:rsid w:val="008F5072"/>
    <w:rsid w:val="008F54B4"/>
    <w:rsid w:val="008F71D6"/>
    <w:rsid w:val="008F748D"/>
    <w:rsid w:val="008F7A7D"/>
    <w:rsid w:val="008F7B99"/>
    <w:rsid w:val="00901859"/>
    <w:rsid w:val="00901C0B"/>
    <w:rsid w:val="00902D38"/>
    <w:rsid w:val="0090572D"/>
    <w:rsid w:val="0090575D"/>
    <w:rsid w:val="00905F2C"/>
    <w:rsid w:val="00907661"/>
    <w:rsid w:val="00907B21"/>
    <w:rsid w:val="00907F63"/>
    <w:rsid w:val="00910837"/>
    <w:rsid w:val="00912777"/>
    <w:rsid w:val="0091292F"/>
    <w:rsid w:val="00913180"/>
    <w:rsid w:val="00913C16"/>
    <w:rsid w:val="009150F6"/>
    <w:rsid w:val="00915C22"/>
    <w:rsid w:val="00915F27"/>
    <w:rsid w:val="00916CAE"/>
    <w:rsid w:val="00920197"/>
    <w:rsid w:val="00921051"/>
    <w:rsid w:val="0092125D"/>
    <w:rsid w:val="009212DE"/>
    <w:rsid w:val="00921552"/>
    <w:rsid w:val="009216B0"/>
    <w:rsid w:val="00921D53"/>
    <w:rsid w:val="00921F19"/>
    <w:rsid w:val="00922BF2"/>
    <w:rsid w:val="00923B03"/>
    <w:rsid w:val="009245C8"/>
    <w:rsid w:val="00926392"/>
    <w:rsid w:val="00926589"/>
    <w:rsid w:val="00926A2D"/>
    <w:rsid w:val="0093107A"/>
    <w:rsid w:val="009314D8"/>
    <w:rsid w:val="00931CAE"/>
    <w:rsid w:val="009323FE"/>
    <w:rsid w:val="00932B88"/>
    <w:rsid w:val="009348C5"/>
    <w:rsid w:val="00934FC0"/>
    <w:rsid w:val="00936D84"/>
    <w:rsid w:val="00937762"/>
    <w:rsid w:val="009401A4"/>
    <w:rsid w:val="009402E2"/>
    <w:rsid w:val="0094065C"/>
    <w:rsid w:val="00940E1C"/>
    <w:rsid w:val="00941402"/>
    <w:rsid w:val="00941ED3"/>
    <w:rsid w:val="0094203E"/>
    <w:rsid w:val="009425DD"/>
    <w:rsid w:val="0094531F"/>
    <w:rsid w:val="00946E35"/>
    <w:rsid w:val="00950C2C"/>
    <w:rsid w:val="00951AD1"/>
    <w:rsid w:val="009521BC"/>
    <w:rsid w:val="00952458"/>
    <w:rsid w:val="00953186"/>
    <w:rsid w:val="00953ACB"/>
    <w:rsid w:val="00953B11"/>
    <w:rsid w:val="0095530F"/>
    <w:rsid w:val="00956B9C"/>
    <w:rsid w:val="00960011"/>
    <w:rsid w:val="00960F19"/>
    <w:rsid w:val="00961D70"/>
    <w:rsid w:val="00962351"/>
    <w:rsid w:val="00963668"/>
    <w:rsid w:val="0096369B"/>
    <w:rsid w:val="009641D1"/>
    <w:rsid w:val="00964308"/>
    <w:rsid w:val="009648CB"/>
    <w:rsid w:val="009655E0"/>
    <w:rsid w:val="009659E9"/>
    <w:rsid w:val="00966203"/>
    <w:rsid w:val="0096768D"/>
    <w:rsid w:val="00967AB1"/>
    <w:rsid w:val="00970BCC"/>
    <w:rsid w:val="00971A34"/>
    <w:rsid w:val="00971B63"/>
    <w:rsid w:val="00971F45"/>
    <w:rsid w:val="00973DF8"/>
    <w:rsid w:val="00973E46"/>
    <w:rsid w:val="00974331"/>
    <w:rsid w:val="00974874"/>
    <w:rsid w:val="00975750"/>
    <w:rsid w:val="00975A5F"/>
    <w:rsid w:val="00976094"/>
    <w:rsid w:val="009760A3"/>
    <w:rsid w:val="00976728"/>
    <w:rsid w:val="00976921"/>
    <w:rsid w:val="00976C80"/>
    <w:rsid w:val="00980234"/>
    <w:rsid w:val="00984554"/>
    <w:rsid w:val="0098618F"/>
    <w:rsid w:val="0099083B"/>
    <w:rsid w:val="00990CB8"/>
    <w:rsid w:val="00991223"/>
    <w:rsid w:val="0099187B"/>
    <w:rsid w:val="00991A27"/>
    <w:rsid w:val="00991AE3"/>
    <w:rsid w:val="009920F3"/>
    <w:rsid w:val="009929F4"/>
    <w:rsid w:val="009930DE"/>
    <w:rsid w:val="00993835"/>
    <w:rsid w:val="00993BBB"/>
    <w:rsid w:val="00996240"/>
    <w:rsid w:val="009964C8"/>
    <w:rsid w:val="009969BE"/>
    <w:rsid w:val="00996B63"/>
    <w:rsid w:val="00997B07"/>
    <w:rsid w:val="00997DDF"/>
    <w:rsid w:val="00997E9C"/>
    <w:rsid w:val="009A1030"/>
    <w:rsid w:val="009A130B"/>
    <w:rsid w:val="009A1916"/>
    <w:rsid w:val="009A1F79"/>
    <w:rsid w:val="009A233D"/>
    <w:rsid w:val="009A282C"/>
    <w:rsid w:val="009A3BFF"/>
    <w:rsid w:val="009A3C28"/>
    <w:rsid w:val="009A45E7"/>
    <w:rsid w:val="009A4DFB"/>
    <w:rsid w:val="009A64FB"/>
    <w:rsid w:val="009A650F"/>
    <w:rsid w:val="009A6E04"/>
    <w:rsid w:val="009A7539"/>
    <w:rsid w:val="009A7C11"/>
    <w:rsid w:val="009B05FF"/>
    <w:rsid w:val="009B0FC3"/>
    <w:rsid w:val="009B176F"/>
    <w:rsid w:val="009B20E2"/>
    <w:rsid w:val="009B254C"/>
    <w:rsid w:val="009B3208"/>
    <w:rsid w:val="009B3CF5"/>
    <w:rsid w:val="009B3DB1"/>
    <w:rsid w:val="009B4790"/>
    <w:rsid w:val="009B5144"/>
    <w:rsid w:val="009B638B"/>
    <w:rsid w:val="009B6553"/>
    <w:rsid w:val="009B72E7"/>
    <w:rsid w:val="009B7679"/>
    <w:rsid w:val="009B7816"/>
    <w:rsid w:val="009B7E9A"/>
    <w:rsid w:val="009B7FCF"/>
    <w:rsid w:val="009C01B6"/>
    <w:rsid w:val="009C048C"/>
    <w:rsid w:val="009C17F4"/>
    <w:rsid w:val="009C18A8"/>
    <w:rsid w:val="009C2EDE"/>
    <w:rsid w:val="009C3612"/>
    <w:rsid w:val="009C48F6"/>
    <w:rsid w:val="009C4CED"/>
    <w:rsid w:val="009C5A07"/>
    <w:rsid w:val="009C6651"/>
    <w:rsid w:val="009C6B44"/>
    <w:rsid w:val="009C6F3B"/>
    <w:rsid w:val="009D1D01"/>
    <w:rsid w:val="009D2941"/>
    <w:rsid w:val="009D325D"/>
    <w:rsid w:val="009D3360"/>
    <w:rsid w:val="009D3D3F"/>
    <w:rsid w:val="009D4299"/>
    <w:rsid w:val="009D4454"/>
    <w:rsid w:val="009D4A85"/>
    <w:rsid w:val="009D4D0A"/>
    <w:rsid w:val="009D517D"/>
    <w:rsid w:val="009D5F51"/>
    <w:rsid w:val="009D5F74"/>
    <w:rsid w:val="009D6B2E"/>
    <w:rsid w:val="009D6FEB"/>
    <w:rsid w:val="009D743E"/>
    <w:rsid w:val="009D7772"/>
    <w:rsid w:val="009E03B4"/>
    <w:rsid w:val="009E0910"/>
    <w:rsid w:val="009E1964"/>
    <w:rsid w:val="009E1EC0"/>
    <w:rsid w:val="009E27BA"/>
    <w:rsid w:val="009E37C6"/>
    <w:rsid w:val="009E54C0"/>
    <w:rsid w:val="009E56EB"/>
    <w:rsid w:val="009E60C5"/>
    <w:rsid w:val="009E66F1"/>
    <w:rsid w:val="009F0B82"/>
    <w:rsid w:val="009F29A5"/>
    <w:rsid w:val="009F3524"/>
    <w:rsid w:val="009F419A"/>
    <w:rsid w:val="009F45FD"/>
    <w:rsid w:val="009F49B0"/>
    <w:rsid w:val="009F5D03"/>
    <w:rsid w:val="009F64FF"/>
    <w:rsid w:val="00A000F5"/>
    <w:rsid w:val="00A0133E"/>
    <w:rsid w:val="00A015AE"/>
    <w:rsid w:val="00A01AEE"/>
    <w:rsid w:val="00A03082"/>
    <w:rsid w:val="00A04B28"/>
    <w:rsid w:val="00A05F53"/>
    <w:rsid w:val="00A065CF"/>
    <w:rsid w:val="00A06A48"/>
    <w:rsid w:val="00A06F29"/>
    <w:rsid w:val="00A112AA"/>
    <w:rsid w:val="00A125E1"/>
    <w:rsid w:val="00A134D6"/>
    <w:rsid w:val="00A1444E"/>
    <w:rsid w:val="00A146CE"/>
    <w:rsid w:val="00A147E1"/>
    <w:rsid w:val="00A14838"/>
    <w:rsid w:val="00A14A3A"/>
    <w:rsid w:val="00A14BA1"/>
    <w:rsid w:val="00A1545C"/>
    <w:rsid w:val="00A159C3"/>
    <w:rsid w:val="00A161E9"/>
    <w:rsid w:val="00A16743"/>
    <w:rsid w:val="00A17AE0"/>
    <w:rsid w:val="00A2065D"/>
    <w:rsid w:val="00A20AD0"/>
    <w:rsid w:val="00A22050"/>
    <w:rsid w:val="00A22CC3"/>
    <w:rsid w:val="00A232A6"/>
    <w:rsid w:val="00A23A64"/>
    <w:rsid w:val="00A24D06"/>
    <w:rsid w:val="00A25101"/>
    <w:rsid w:val="00A305C7"/>
    <w:rsid w:val="00A30779"/>
    <w:rsid w:val="00A308C5"/>
    <w:rsid w:val="00A31FA1"/>
    <w:rsid w:val="00A335CC"/>
    <w:rsid w:val="00A33B84"/>
    <w:rsid w:val="00A34980"/>
    <w:rsid w:val="00A34F7A"/>
    <w:rsid w:val="00A36231"/>
    <w:rsid w:val="00A36A31"/>
    <w:rsid w:val="00A37F8F"/>
    <w:rsid w:val="00A404A2"/>
    <w:rsid w:val="00A40B64"/>
    <w:rsid w:val="00A410C0"/>
    <w:rsid w:val="00A41FFF"/>
    <w:rsid w:val="00A42362"/>
    <w:rsid w:val="00A42507"/>
    <w:rsid w:val="00A430D1"/>
    <w:rsid w:val="00A459F2"/>
    <w:rsid w:val="00A4624E"/>
    <w:rsid w:val="00A46904"/>
    <w:rsid w:val="00A4778F"/>
    <w:rsid w:val="00A50068"/>
    <w:rsid w:val="00A50438"/>
    <w:rsid w:val="00A51555"/>
    <w:rsid w:val="00A5197C"/>
    <w:rsid w:val="00A519D1"/>
    <w:rsid w:val="00A521E6"/>
    <w:rsid w:val="00A5268D"/>
    <w:rsid w:val="00A52882"/>
    <w:rsid w:val="00A52EDF"/>
    <w:rsid w:val="00A552BF"/>
    <w:rsid w:val="00A558BB"/>
    <w:rsid w:val="00A55B92"/>
    <w:rsid w:val="00A55F6D"/>
    <w:rsid w:val="00A56376"/>
    <w:rsid w:val="00A56F32"/>
    <w:rsid w:val="00A57DC6"/>
    <w:rsid w:val="00A60DDE"/>
    <w:rsid w:val="00A612FC"/>
    <w:rsid w:val="00A61FCA"/>
    <w:rsid w:val="00A62FA4"/>
    <w:rsid w:val="00A6302A"/>
    <w:rsid w:val="00A63260"/>
    <w:rsid w:val="00A63A19"/>
    <w:rsid w:val="00A64046"/>
    <w:rsid w:val="00A67819"/>
    <w:rsid w:val="00A67D24"/>
    <w:rsid w:val="00A70145"/>
    <w:rsid w:val="00A70746"/>
    <w:rsid w:val="00A70C3D"/>
    <w:rsid w:val="00A71306"/>
    <w:rsid w:val="00A71CB2"/>
    <w:rsid w:val="00A723B8"/>
    <w:rsid w:val="00A73114"/>
    <w:rsid w:val="00A7528B"/>
    <w:rsid w:val="00A75362"/>
    <w:rsid w:val="00A75826"/>
    <w:rsid w:val="00A75C1A"/>
    <w:rsid w:val="00A75E59"/>
    <w:rsid w:val="00A771F0"/>
    <w:rsid w:val="00A77807"/>
    <w:rsid w:val="00A800DF"/>
    <w:rsid w:val="00A8059C"/>
    <w:rsid w:val="00A82CC2"/>
    <w:rsid w:val="00A83065"/>
    <w:rsid w:val="00A85515"/>
    <w:rsid w:val="00A85F22"/>
    <w:rsid w:val="00A87162"/>
    <w:rsid w:val="00A90015"/>
    <w:rsid w:val="00A90593"/>
    <w:rsid w:val="00A9073E"/>
    <w:rsid w:val="00A90E91"/>
    <w:rsid w:val="00A90F4C"/>
    <w:rsid w:val="00A916ED"/>
    <w:rsid w:val="00A92714"/>
    <w:rsid w:val="00A92B78"/>
    <w:rsid w:val="00A930D9"/>
    <w:rsid w:val="00A9325D"/>
    <w:rsid w:val="00A93E91"/>
    <w:rsid w:val="00A94690"/>
    <w:rsid w:val="00A9477E"/>
    <w:rsid w:val="00A9572D"/>
    <w:rsid w:val="00A958BD"/>
    <w:rsid w:val="00A95F3C"/>
    <w:rsid w:val="00A95F59"/>
    <w:rsid w:val="00A960C0"/>
    <w:rsid w:val="00A97173"/>
    <w:rsid w:val="00A978BE"/>
    <w:rsid w:val="00AA039E"/>
    <w:rsid w:val="00AA1B7E"/>
    <w:rsid w:val="00AA3A66"/>
    <w:rsid w:val="00AA4E1D"/>
    <w:rsid w:val="00AA5428"/>
    <w:rsid w:val="00AA6621"/>
    <w:rsid w:val="00AA6A73"/>
    <w:rsid w:val="00AA6CB9"/>
    <w:rsid w:val="00AA71A6"/>
    <w:rsid w:val="00AA72AA"/>
    <w:rsid w:val="00AB001F"/>
    <w:rsid w:val="00AB031E"/>
    <w:rsid w:val="00AB0600"/>
    <w:rsid w:val="00AB0DD1"/>
    <w:rsid w:val="00AB103B"/>
    <w:rsid w:val="00AB280C"/>
    <w:rsid w:val="00AB29A7"/>
    <w:rsid w:val="00AB3CD9"/>
    <w:rsid w:val="00AB42AD"/>
    <w:rsid w:val="00AB4504"/>
    <w:rsid w:val="00AB4895"/>
    <w:rsid w:val="00AB4A3E"/>
    <w:rsid w:val="00AB5602"/>
    <w:rsid w:val="00AB62CE"/>
    <w:rsid w:val="00AB6E2E"/>
    <w:rsid w:val="00AB740B"/>
    <w:rsid w:val="00AB75FF"/>
    <w:rsid w:val="00AC0315"/>
    <w:rsid w:val="00AC0E47"/>
    <w:rsid w:val="00AC0FB3"/>
    <w:rsid w:val="00AC1EDF"/>
    <w:rsid w:val="00AC211D"/>
    <w:rsid w:val="00AC2C6E"/>
    <w:rsid w:val="00AC4474"/>
    <w:rsid w:val="00AC4D4F"/>
    <w:rsid w:val="00AC586C"/>
    <w:rsid w:val="00AC5F59"/>
    <w:rsid w:val="00AC6AEC"/>
    <w:rsid w:val="00AD0892"/>
    <w:rsid w:val="00AD12BE"/>
    <w:rsid w:val="00AD2929"/>
    <w:rsid w:val="00AD37E6"/>
    <w:rsid w:val="00AD3C28"/>
    <w:rsid w:val="00AD4387"/>
    <w:rsid w:val="00AD5182"/>
    <w:rsid w:val="00AD5B0F"/>
    <w:rsid w:val="00AD5E3F"/>
    <w:rsid w:val="00AD6C40"/>
    <w:rsid w:val="00AD6C96"/>
    <w:rsid w:val="00AD7944"/>
    <w:rsid w:val="00AE070A"/>
    <w:rsid w:val="00AE3616"/>
    <w:rsid w:val="00AE3C7E"/>
    <w:rsid w:val="00AE3E0C"/>
    <w:rsid w:val="00AE40C6"/>
    <w:rsid w:val="00AE4810"/>
    <w:rsid w:val="00AE5A49"/>
    <w:rsid w:val="00AE5FF1"/>
    <w:rsid w:val="00AE6A93"/>
    <w:rsid w:val="00AE7620"/>
    <w:rsid w:val="00AF101C"/>
    <w:rsid w:val="00AF2D3B"/>
    <w:rsid w:val="00AF5108"/>
    <w:rsid w:val="00AF53C8"/>
    <w:rsid w:val="00AF6F7B"/>
    <w:rsid w:val="00AF72B4"/>
    <w:rsid w:val="00B00689"/>
    <w:rsid w:val="00B00F5B"/>
    <w:rsid w:val="00B0208F"/>
    <w:rsid w:val="00B0209C"/>
    <w:rsid w:val="00B02D07"/>
    <w:rsid w:val="00B0452E"/>
    <w:rsid w:val="00B04BCC"/>
    <w:rsid w:val="00B04C45"/>
    <w:rsid w:val="00B05D24"/>
    <w:rsid w:val="00B06798"/>
    <w:rsid w:val="00B079CA"/>
    <w:rsid w:val="00B1100E"/>
    <w:rsid w:val="00B1109E"/>
    <w:rsid w:val="00B117D7"/>
    <w:rsid w:val="00B12567"/>
    <w:rsid w:val="00B12A6B"/>
    <w:rsid w:val="00B13999"/>
    <w:rsid w:val="00B143B6"/>
    <w:rsid w:val="00B20692"/>
    <w:rsid w:val="00B20D29"/>
    <w:rsid w:val="00B21181"/>
    <w:rsid w:val="00B21283"/>
    <w:rsid w:val="00B22198"/>
    <w:rsid w:val="00B23504"/>
    <w:rsid w:val="00B244AC"/>
    <w:rsid w:val="00B24B9A"/>
    <w:rsid w:val="00B25AD8"/>
    <w:rsid w:val="00B27084"/>
    <w:rsid w:val="00B276CE"/>
    <w:rsid w:val="00B302FA"/>
    <w:rsid w:val="00B316CC"/>
    <w:rsid w:val="00B325B6"/>
    <w:rsid w:val="00B32A80"/>
    <w:rsid w:val="00B3396C"/>
    <w:rsid w:val="00B35490"/>
    <w:rsid w:val="00B40724"/>
    <w:rsid w:val="00B40D4A"/>
    <w:rsid w:val="00B414F4"/>
    <w:rsid w:val="00B41B3E"/>
    <w:rsid w:val="00B41FA4"/>
    <w:rsid w:val="00B42D70"/>
    <w:rsid w:val="00B43065"/>
    <w:rsid w:val="00B44204"/>
    <w:rsid w:val="00B445AD"/>
    <w:rsid w:val="00B45383"/>
    <w:rsid w:val="00B45443"/>
    <w:rsid w:val="00B45567"/>
    <w:rsid w:val="00B46441"/>
    <w:rsid w:val="00B50894"/>
    <w:rsid w:val="00B50EE9"/>
    <w:rsid w:val="00B51E6A"/>
    <w:rsid w:val="00B52A5E"/>
    <w:rsid w:val="00B530AC"/>
    <w:rsid w:val="00B556CC"/>
    <w:rsid w:val="00B56B1A"/>
    <w:rsid w:val="00B56D02"/>
    <w:rsid w:val="00B57001"/>
    <w:rsid w:val="00B5766C"/>
    <w:rsid w:val="00B57845"/>
    <w:rsid w:val="00B607CB"/>
    <w:rsid w:val="00B608FA"/>
    <w:rsid w:val="00B6275C"/>
    <w:rsid w:val="00B62970"/>
    <w:rsid w:val="00B6368E"/>
    <w:rsid w:val="00B64F73"/>
    <w:rsid w:val="00B66CA3"/>
    <w:rsid w:val="00B704D7"/>
    <w:rsid w:val="00B70614"/>
    <w:rsid w:val="00B70B1A"/>
    <w:rsid w:val="00B7142B"/>
    <w:rsid w:val="00B719EA"/>
    <w:rsid w:val="00B71F9A"/>
    <w:rsid w:val="00B731CE"/>
    <w:rsid w:val="00B7327F"/>
    <w:rsid w:val="00B7340E"/>
    <w:rsid w:val="00B73C05"/>
    <w:rsid w:val="00B7520F"/>
    <w:rsid w:val="00B755BA"/>
    <w:rsid w:val="00B760B9"/>
    <w:rsid w:val="00B775E6"/>
    <w:rsid w:val="00B777C8"/>
    <w:rsid w:val="00B7797E"/>
    <w:rsid w:val="00B77CB0"/>
    <w:rsid w:val="00B8060B"/>
    <w:rsid w:val="00B809A1"/>
    <w:rsid w:val="00B80B8B"/>
    <w:rsid w:val="00B81E43"/>
    <w:rsid w:val="00B81FCB"/>
    <w:rsid w:val="00B8217C"/>
    <w:rsid w:val="00B82C34"/>
    <w:rsid w:val="00B832E2"/>
    <w:rsid w:val="00B8338C"/>
    <w:rsid w:val="00B833D0"/>
    <w:rsid w:val="00B83D12"/>
    <w:rsid w:val="00B83D62"/>
    <w:rsid w:val="00B84717"/>
    <w:rsid w:val="00B84DE9"/>
    <w:rsid w:val="00B853E5"/>
    <w:rsid w:val="00B85DCE"/>
    <w:rsid w:val="00B85E36"/>
    <w:rsid w:val="00B860F7"/>
    <w:rsid w:val="00B867F5"/>
    <w:rsid w:val="00B879CA"/>
    <w:rsid w:val="00B87E4A"/>
    <w:rsid w:val="00B901D0"/>
    <w:rsid w:val="00B90905"/>
    <w:rsid w:val="00B90959"/>
    <w:rsid w:val="00B92C27"/>
    <w:rsid w:val="00B942FE"/>
    <w:rsid w:val="00B94379"/>
    <w:rsid w:val="00B94B39"/>
    <w:rsid w:val="00B95651"/>
    <w:rsid w:val="00B95773"/>
    <w:rsid w:val="00B95DA2"/>
    <w:rsid w:val="00B96702"/>
    <w:rsid w:val="00B97062"/>
    <w:rsid w:val="00BA0A88"/>
    <w:rsid w:val="00BA1BC7"/>
    <w:rsid w:val="00BA2898"/>
    <w:rsid w:val="00BA3095"/>
    <w:rsid w:val="00BA33AD"/>
    <w:rsid w:val="00BA36F1"/>
    <w:rsid w:val="00BA39F2"/>
    <w:rsid w:val="00BA3B95"/>
    <w:rsid w:val="00BA501E"/>
    <w:rsid w:val="00BA6672"/>
    <w:rsid w:val="00BA6D66"/>
    <w:rsid w:val="00BA6E87"/>
    <w:rsid w:val="00BA70A1"/>
    <w:rsid w:val="00BB07C0"/>
    <w:rsid w:val="00BB0F68"/>
    <w:rsid w:val="00BB1035"/>
    <w:rsid w:val="00BB1968"/>
    <w:rsid w:val="00BB1B65"/>
    <w:rsid w:val="00BB1BF9"/>
    <w:rsid w:val="00BB2207"/>
    <w:rsid w:val="00BB3753"/>
    <w:rsid w:val="00BB3F55"/>
    <w:rsid w:val="00BB418D"/>
    <w:rsid w:val="00BB52FF"/>
    <w:rsid w:val="00BB68D3"/>
    <w:rsid w:val="00BB6AA6"/>
    <w:rsid w:val="00BB6B80"/>
    <w:rsid w:val="00BB7089"/>
    <w:rsid w:val="00BC056F"/>
    <w:rsid w:val="00BC0993"/>
    <w:rsid w:val="00BC0D0A"/>
    <w:rsid w:val="00BC0F57"/>
    <w:rsid w:val="00BC1132"/>
    <w:rsid w:val="00BC1481"/>
    <w:rsid w:val="00BC1485"/>
    <w:rsid w:val="00BC16FA"/>
    <w:rsid w:val="00BC25C4"/>
    <w:rsid w:val="00BC4E55"/>
    <w:rsid w:val="00BC534F"/>
    <w:rsid w:val="00BC597A"/>
    <w:rsid w:val="00BC69BA"/>
    <w:rsid w:val="00BC703B"/>
    <w:rsid w:val="00BD02DB"/>
    <w:rsid w:val="00BD05B5"/>
    <w:rsid w:val="00BD1FEA"/>
    <w:rsid w:val="00BD2204"/>
    <w:rsid w:val="00BD2501"/>
    <w:rsid w:val="00BD2A7D"/>
    <w:rsid w:val="00BD2B57"/>
    <w:rsid w:val="00BD2CAE"/>
    <w:rsid w:val="00BD486D"/>
    <w:rsid w:val="00BD560D"/>
    <w:rsid w:val="00BD6374"/>
    <w:rsid w:val="00BD6F57"/>
    <w:rsid w:val="00BD70A0"/>
    <w:rsid w:val="00BD75DB"/>
    <w:rsid w:val="00BD765F"/>
    <w:rsid w:val="00BD79F5"/>
    <w:rsid w:val="00BD7AF4"/>
    <w:rsid w:val="00BD7B61"/>
    <w:rsid w:val="00BE0610"/>
    <w:rsid w:val="00BE1BF4"/>
    <w:rsid w:val="00BE2FCC"/>
    <w:rsid w:val="00BE3211"/>
    <w:rsid w:val="00BE32FF"/>
    <w:rsid w:val="00BE3BCC"/>
    <w:rsid w:val="00BE4A10"/>
    <w:rsid w:val="00BE4FFF"/>
    <w:rsid w:val="00BE5CF6"/>
    <w:rsid w:val="00BE6E9F"/>
    <w:rsid w:val="00BE73DE"/>
    <w:rsid w:val="00BE797C"/>
    <w:rsid w:val="00BE7AE9"/>
    <w:rsid w:val="00BF0604"/>
    <w:rsid w:val="00BF123B"/>
    <w:rsid w:val="00BF15F0"/>
    <w:rsid w:val="00BF1683"/>
    <w:rsid w:val="00BF2902"/>
    <w:rsid w:val="00BF313D"/>
    <w:rsid w:val="00BF32AC"/>
    <w:rsid w:val="00BF3810"/>
    <w:rsid w:val="00BF4F73"/>
    <w:rsid w:val="00BF5650"/>
    <w:rsid w:val="00C023D7"/>
    <w:rsid w:val="00C0399B"/>
    <w:rsid w:val="00C03E27"/>
    <w:rsid w:val="00C04246"/>
    <w:rsid w:val="00C05EBB"/>
    <w:rsid w:val="00C05F42"/>
    <w:rsid w:val="00C075DE"/>
    <w:rsid w:val="00C10237"/>
    <w:rsid w:val="00C10642"/>
    <w:rsid w:val="00C11B8F"/>
    <w:rsid w:val="00C11F4F"/>
    <w:rsid w:val="00C12B1E"/>
    <w:rsid w:val="00C132E1"/>
    <w:rsid w:val="00C1359F"/>
    <w:rsid w:val="00C16B13"/>
    <w:rsid w:val="00C177A6"/>
    <w:rsid w:val="00C21092"/>
    <w:rsid w:val="00C2151B"/>
    <w:rsid w:val="00C23F2C"/>
    <w:rsid w:val="00C24D28"/>
    <w:rsid w:val="00C251E3"/>
    <w:rsid w:val="00C257A4"/>
    <w:rsid w:val="00C25BAA"/>
    <w:rsid w:val="00C25C9D"/>
    <w:rsid w:val="00C25DE3"/>
    <w:rsid w:val="00C2611A"/>
    <w:rsid w:val="00C32175"/>
    <w:rsid w:val="00C324BD"/>
    <w:rsid w:val="00C33642"/>
    <w:rsid w:val="00C344A6"/>
    <w:rsid w:val="00C34797"/>
    <w:rsid w:val="00C34829"/>
    <w:rsid w:val="00C34AA3"/>
    <w:rsid w:val="00C353B9"/>
    <w:rsid w:val="00C35F98"/>
    <w:rsid w:val="00C36BB7"/>
    <w:rsid w:val="00C37097"/>
    <w:rsid w:val="00C373BC"/>
    <w:rsid w:val="00C40C1F"/>
    <w:rsid w:val="00C40C33"/>
    <w:rsid w:val="00C42382"/>
    <w:rsid w:val="00C42681"/>
    <w:rsid w:val="00C42716"/>
    <w:rsid w:val="00C42F97"/>
    <w:rsid w:val="00C43481"/>
    <w:rsid w:val="00C4409F"/>
    <w:rsid w:val="00C45FD2"/>
    <w:rsid w:val="00C46158"/>
    <w:rsid w:val="00C4623A"/>
    <w:rsid w:val="00C4634B"/>
    <w:rsid w:val="00C47B64"/>
    <w:rsid w:val="00C5007D"/>
    <w:rsid w:val="00C50AD8"/>
    <w:rsid w:val="00C50BF5"/>
    <w:rsid w:val="00C51437"/>
    <w:rsid w:val="00C51F19"/>
    <w:rsid w:val="00C5243A"/>
    <w:rsid w:val="00C5276F"/>
    <w:rsid w:val="00C52CF9"/>
    <w:rsid w:val="00C5423B"/>
    <w:rsid w:val="00C553B3"/>
    <w:rsid w:val="00C55493"/>
    <w:rsid w:val="00C56424"/>
    <w:rsid w:val="00C5770A"/>
    <w:rsid w:val="00C600B5"/>
    <w:rsid w:val="00C60B78"/>
    <w:rsid w:val="00C60D16"/>
    <w:rsid w:val="00C62D6B"/>
    <w:rsid w:val="00C6409D"/>
    <w:rsid w:val="00C65E12"/>
    <w:rsid w:val="00C672AD"/>
    <w:rsid w:val="00C70CE6"/>
    <w:rsid w:val="00C70FEA"/>
    <w:rsid w:val="00C71143"/>
    <w:rsid w:val="00C71829"/>
    <w:rsid w:val="00C71919"/>
    <w:rsid w:val="00C73200"/>
    <w:rsid w:val="00C73AD6"/>
    <w:rsid w:val="00C74A1A"/>
    <w:rsid w:val="00C750A8"/>
    <w:rsid w:val="00C751CD"/>
    <w:rsid w:val="00C75625"/>
    <w:rsid w:val="00C75CAE"/>
    <w:rsid w:val="00C75F8D"/>
    <w:rsid w:val="00C7613A"/>
    <w:rsid w:val="00C77726"/>
    <w:rsid w:val="00C807CF"/>
    <w:rsid w:val="00C80F4E"/>
    <w:rsid w:val="00C81DED"/>
    <w:rsid w:val="00C829B9"/>
    <w:rsid w:val="00C8374B"/>
    <w:rsid w:val="00C84508"/>
    <w:rsid w:val="00C85EB6"/>
    <w:rsid w:val="00C85EEA"/>
    <w:rsid w:val="00C86982"/>
    <w:rsid w:val="00C869C3"/>
    <w:rsid w:val="00C872A7"/>
    <w:rsid w:val="00C87E7B"/>
    <w:rsid w:val="00C87F46"/>
    <w:rsid w:val="00C9038B"/>
    <w:rsid w:val="00C9038D"/>
    <w:rsid w:val="00C919E7"/>
    <w:rsid w:val="00C920C9"/>
    <w:rsid w:val="00C92213"/>
    <w:rsid w:val="00C9279A"/>
    <w:rsid w:val="00C9284D"/>
    <w:rsid w:val="00C92A32"/>
    <w:rsid w:val="00C92AF6"/>
    <w:rsid w:val="00C9326D"/>
    <w:rsid w:val="00C93FF9"/>
    <w:rsid w:val="00C940C8"/>
    <w:rsid w:val="00C944F5"/>
    <w:rsid w:val="00C94670"/>
    <w:rsid w:val="00C946BD"/>
    <w:rsid w:val="00C9494B"/>
    <w:rsid w:val="00C951E9"/>
    <w:rsid w:val="00C9527D"/>
    <w:rsid w:val="00C96309"/>
    <w:rsid w:val="00C96774"/>
    <w:rsid w:val="00C97380"/>
    <w:rsid w:val="00CA17C6"/>
    <w:rsid w:val="00CA33F9"/>
    <w:rsid w:val="00CA4327"/>
    <w:rsid w:val="00CA43F4"/>
    <w:rsid w:val="00CA44F3"/>
    <w:rsid w:val="00CA5089"/>
    <w:rsid w:val="00CB1042"/>
    <w:rsid w:val="00CB17FA"/>
    <w:rsid w:val="00CB1A51"/>
    <w:rsid w:val="00CB36C8"/>
    <w:rsid w:val="00CB3CE7"/>
    <w:rsid w:val="00CB4AF5"/>
    <w:rsid w:val="00CB6480"/>
    <w:rsid w:val="00CB7B8C"/>
    <w:rsid w:val="00CB7FE2"/>
    <w:rsid w:val="00CC1362"/>
    <w:rsid w:val="00CC1750"/>
    <w:rsid w:val="00CC1952"/>
    <w:rsid w:val="00CC2154"/>
    <w:rsid w:val="00CC2AF3"/>
    <w:rsid w:val="00CC2EAE"/>
    <w:rsid w:val="00CC407B"/>
    <w:rsid w:val="00CC51C1"/>
    <w:rsid w:val="00CC5290"/>
    <w:rsid w:val="00CC550A"/>
    <w:rsid w:val="00CC574A"/>
    <w:rsid w:val="00CC6366"/>
    <w:rsid w:val="00CC65D8"/>
    <w:rsid w:val="00CC6C13"/>
    <w:rsid w:val="00CC75CA"/>
    <w:rsid w:val="00CD016D"/>
    <w:rsid w:val="00CD1B83"/>
    <w:rsid w:val="00CD243A"/>
    <w:rsid w:val="00CD26E0"/>
    <w:rsid w:val="00CD3543"/>
    <w:rsid w:val="00CD4946"/>
    <w:rsid w:val="00CD57F8"/>
    <w:rsid w:val="00CD587E"/>
    <w:rsid w:val="00CD5DB7"/>
    <w:rsid w:val="00CD7412"/>
    <w:rsid w:val="00CD7791"/>
    <w:rsid w:val="00CE1D57"/>
    <w:rsid w:val="00CE1F84"/>
    <w:rsid w:val="00CE2030"/>
    <w:rsid w:val="00CE2EF6"/>
    <w:rsid w:val="00CE3B6A"/>
    <w:rsid w:val="00CE3FD9"/>
    <w:rsid w:val="00CE404B"/>
    <w:rsid w:val="00CE42E2"/>
    <w:rsid w:val="00CE73E7"/>
    <w:rsid w:val="00CE7999"/>
    <w:rsid w:val="00CE7F3F"/>
    <w:rsid w:val="00CF07E7"/>
    <w:rsid w:val="00CF1023"/>
    <w:rsid w:val="00CF1040"/>
    <w:rsid w:val="00CF1159"/>
    <w:rsid w:val="00CF2E26"/>
    <w:rsid w:val="00CF32E5"/>
    <w:rsid w:val="00CF372F"/>
    <w:rsid w:val="00CF47AE"/>
    <w:rsid w:val="00CF4869"/>
    <w:rsid w:val="00CF4D88"/>
    <w:rsid w:val="00CF51F2"/>
    <w:rsid w:val="00CF5A72"/>
    <w:rsid w:val="00CF711A"/>
    <w:rsid w:val="00CF72A8"/>
    <w:rsid w:val="00CF746D"/>
    <w:rsid w:val="00CF7DBB"/>
    <w:rsid w:val="00D00A51"/>
    <w:rsid w:val="00D00B40"/>
    <w:rsid w:val="00D01F3C"/>
    <w:rsid w:val="00D02151"/>
    <w:rsid w:val="00D02A2D"/>
    <w:rsid w:val="00D03C6E"/>
    <w:rsid w:val="00D04B4D"/>
    <w:rsid w:val="00D05DD2"/>
    <w:rsid w:val="00D064AE"/>
    <w:rsid w:val="00D06589"/>
    <w:rsid w:val="00D06EAB"/>
    <w:rsid w:val="00D071FB"/>
    <w:rsid w:val="00D07677"/>
    <w:rsid w:val="00D07717"/>
    <w:rsid w:val="00D101D6"/>
    <w:rsid w:val="00D108B1"/>
    <w:rsid w:val="00D10949"/>
    <w:rsid w:val="00D125B5"/>
    <w:rsid w:val="00D12777"/>
    <w:rsid w:val="00D13B5F"/>
    <w:rsid w:val="00D14901"/>
    <w:rsid w:val="00D149B3"/>
    <w:rsid w:val="00D14C13"/>
    <w:rsid w:val="00D14D18"/>
    <w:rsid w:val="00D1592B"/>
    <w:rsid w:val="00D20463"/>
    <w:rsid w:val="00D22377"/>
    <w:rsid w:val="00D23623"/>
    <w:rsid w:val="00D23F89"/>
    <w:rsid w:val="00D24270"/>
    <w:rsid w:val="00D25539"/>
    <w:rsid w:val="00D2779F"/>
    <w:rsid w:val="00D306DE"/>
    <w:rsid w:val="00D31201"/>
    <w:rsid w:val="00D333D2"/>
    <w:rsid w:val="00D3485C"/>
    <w:rsid w:val="00D34BA0"/>
    <w:rsid w:val="00D36839"/>
    <w:rsid w:val="00D36A2E"/>
    <w:rsid w:val="00D37956"/>
    <w:rsid w:val="00D37B3E"/>
    <w:rsid w:val="00D40216"/>
    <w:rsid w:val="00D40252"/>
    <w:rsid w:val="00D404A5"/>
    <w:rsid w:val="00D4128A"/>
    <w:rsid w:val="00D417BE"/>
    <w:rsid w:val="00D419F6"/>
    <w:rsid w:val="00D42229"/>
    <w:rsid w:val="00D43AE8"/>
    <w:rsid w:val="00D4406D"/>
    <w:rsid w:val="00D4447B"/>
    <w:rsid w:val="00D4481A"/>
    <w:rsid w:val="00D4500D"/>
    <w:rsid w:val="00D453A3"/>
    <w:rsid w:val="00D45D73"/>
    <w:rsid w:val="00D4725D"/>
    <w:rsid w:val="00D47776"/>
    <w:rsid w:val="00D5017D"/>
    <w:rsid w:val="00D521CE"/>
    <w:rsid w:val="00D52DFF"/>
    <w:rsid w:val="00D54424"/>
    <w:rsid w:val="00D54D8B"/>
    <w:rsid w:val="00D54E10"/>
    <w:rsid w:val="00D54F1D"/>
    <w:rsid w:val="00D55321"/>
    <w:rsid w:val="00D56375"/>
    <w:rsid w:val="00D56E0C"/>
    <w:rsid w:val="00D60542"/>
    <w:rsid w:val="00D605B3"/>
    <w:rsid w:val="00D6299F"/>
    <w:rsid w:val="00D63A12"/>
    <w:rsid w:val="00D64082"/>
    <w:rsid w:val="00D656D1"/>
    <w:rsid w:val="00D65D92"/>
    <w:rsid w:val="00D66598"/>
    <w:rsid w:val="00D66BFF"/>
    <w:rsid w:val="00D671C9"/>
    <w:rsid w:val="00D679C7"/>
    <w:rsid w:val="00D70BF3"/>
    <w:rsid w:val="00D71177"/>
    <w:rsid w:val="00D712AB"/>
    <w:rsid w:val="00D71B5A"/>
    <w:rsid w:val="00D71FD2"/>
    <w:rsid w:val="00D72194"/>
    <w:rsid w:val="00D74E4C"/>
    <w:rsid w:val="00D75A57"/>
    <w:rsid w:val="00D767C5"/>
    <w:rsid w:val="00D76EA6"/>
    <w:rsid w:val="00D806FD"/>
    <w:rsid w:val="00D852B0"/>
    <w:rsid w:val="00D86313"/>
    <w:rsid w:val="00D86EA1"/>
    <w:rsid w:val="00D87488"/>
    <w:rsid w:val="00D90D77"/>
    <w:rsid w:val="00D92891"/>
    <w:rsid w:val="00D928B4"/>
    <w:rsid w:val="00D928EA"/>
    <w:rsid w:val="00D93208"/>
    <w:rsid w:val="00D93F65"/>
    <w:rsid w:val="00D95C78"/>
    <w:rsid w:val="00D95D8C"/>
    <w:rsid w:val="00D96A03"/>
    <w:rsid w:val="00D96A82"/>
    <w:rsid w:val="00DA03BC"/>
    <w:rsid w:val="00DA03F3"/>
    <w:rsid w:val="00DA1DA1"/>
    <w:rsid w:val="00DA1DC1"/>
    <w:rsid w:val="00DA2959"/>
    <w:rsid w:val="00DA2BCA"/>
    <w:rsid w:val="00DA3759"/>
    <w:rsid w:val="00DA4436"/>
    <w:rsid w:val="00DA4B34"/>
    <w:rsid w:val="00DA538E"/>
    <w:rsid w:val="00DA54CB"/>
    <w:rsid w:val="00DA68CF"/>
    <w:rsid w:val="00DA74F5"/>
    <w:rsid w:val="00DA7A24"/>
    <w:rsid w:val="00DA7DF6"/>
    <w:rsid w:val="00DB0D4D"/>
    <w:rsid w:val="00DB28A8"/>
    <w:rsid w:val="00DB30D5"/>
    <w:rsid w:val="00DB3F8C"/>
    <w:rsid w:val="00DB6D44"/>
    <w:rsid w:val="00DC21D5"/>
    <w:rsid w:val="00DC22B8"/>
    <w:rsid w:val="00DC25E8"/>
    <w:rsid w:val="00DC2AA3"/>
    <w:rsid w:val="00DC3552"/>
    <w:rsid w:val="00DC3C7A"/>
    <w:rsid w:val="00DC5F5B"/>
    <w:rsid w:val="00DC6E4D"/>
    <w:rsid w:val="00DC72CA"/>
    <w:rsid w:val="00DC77ED"/>
    <w:rsid w:val="00DD08B9"/>
    <w:rsid w:val="00DD1D21"/>
    <w:rsid w:val="00DD2E8E"/>
    <w:rsid w:val="00DD3650"/>
    <w:rsid w:val="00DD37BA"/>
    <w:rsid w:val="00DD4262"/>
    <w:rsid w:val="00DD5283"/>
    <w:rsid w:val="00DD553C"/>
    <w:rsid w:val="00DD645E"/>
    <w:rsid w:val="00DD693E"/>
    <w:rsid w:val="00DD7BD7"/>
    <w:rsid w:val="00DE0509"/>
    <w:rsid w:val="00DE2478"/>
    <w:rsid w:val="00DE25A2"/>
    <w:rsid w:val="00DE3876"/>
    <w:rsid w:val="00DE3D8F"/>
    <w:rsid w:val="00DE465E"/>
    <w:rsid w:val="00DE53C1"/>
    <w:rsid w:val="00DE73E6"/>
    <w:rsid w:val="00DF07F9"/>
    <w:rsid w:val="00DF0E3F"/>
    <w:rsid w:val="00DF0F27"/>
    <w:rsid w:val="00DF29DC"/>
    <w:rsid w:val="00DF322F"/>
    <w:rsid w:val="00DF3430"/>
    <w:rsid w:val="00DF3A4A"/>
    <w:rsid w:val="00DF3FB0"/>
    <w:rsid w:val="00DF4355"/>
    <w:rsid w:val="00DF436C"/>
    <w:rsid w:val="00DF7AF9"/>
    <w:rsid w:val="00E01892"/>
    <w:rsid w:val="00E02377"/>
    <w:rsid w:val="00E038EF"/>
    <w:rsid w:val="00E03984"/>
    <w:rsid w:val="00E03B80"/>
    <w:rsid w:val="00E0519F"/>
    <w:rsid w:val="00E05C3E"/>
    <w:rsid w:val="00E05FA5"/>
    <w:rsid w:val="00E069D1"/>
    <w:rsid w:val="00E07057"/>
    <w:rsid w:val="00E10367"/>
    <w:rsid w:val="00E105A4"/>
    <w:rsid w:val="00E11C6E"/>
    <w:rsid w:val="00E12D78"/>
    <w:rsid w:val="00E13EBE"/>
    <w:rsid w:val="00E145E6"/>
    <w:rsid w:val="00E173FA"/>
    <w:rsid w:val="00E1756E"/>
    <w:rsid w:val="00E2192B"/>
    <w:rsid w:val="00E22E84"/>
    <w:rsid w:val="00E23A43"/>
    <w:rsid w:val="00E24310"/>
    <w:rsid w:val="00E24AF3"/>
    <w:rsid w:val="00E253BE"/>
    <w:rsid w:val="00E253C2"/>
    <w:rsid w:val="00E25A92"/>
    <w:rsid w:val="00E27554"/>
    <w:rsid w:val="00E2775C"/>
    <w:rsid w:val="00E3046D"/>
    <w:rsid w:val="00E316B6"/>
    <w:rsid w:val="00E31A11"/>
    <w:rsid w:val="00E33627"/>
    <w:rsid w:val="00E33718"/>
    <w:rsid w:val="00E33C0E"/>
    <w:rsid w:val="00E3425E"/>
    <w:rsid w:val="00E349AD"/>
    <w:rsid w:val="00E373DB"/>
    <w:rsid w:val="00E408C5"/>
    <w:rsid w:val="00E41A45"/>
    <w:rsid w:val="00E42672"/>
    <w:rsid w:val="00E4268F"/>
    <w:rsid w:val="00E44192"/>
    <w:rsid w:val="00E44362"/>
    <w:rsid w:val="00E46BC3"/>
    <w:rsid w:val="00E519A0"/>
    <w:rsid w:val="00E52CF1"/>
    <w:rsid w:val="00E52EAD"/>
    <w:rsid w:val="00E535F4"/>
    <w:rsid w:val="00E538CF"/>
    <w:rsid w:val="00E55CC0"/>
    <w:rsid w:val="00E56C03"/>
    <w:rsid w:val="00E57DF7"/>
    <w:rsid w:val="00E60BAD"/>
    <w:rsid w:val="00E6284A"/>
    <w:rsid w:val="00E63331"/>
    <w:rsid w:val="00E633FE"/>
    <w:rsid w:val="00E63793"/>
    <w:rsid w:val="00E64928"/>
    <w:rsid w:val="00E64AED"/>
    <w:rsid w:val="00E652FE"/>
    <w:rsid w:val="00E6692D"/>
    <w:rsid w:val="00E669B1"/>
    <w:rsid w:val="00E67276"/>
    <w:rsid w:val="00E67E0B"/>
    <w:rsid w:val="00E70253"/>
    <w:rsid w:val="00E70F7E"/>
    <w:rsid w:val="00E713E4"/>
    <w:rsid w:val="00E72E65"/>
    <w:rsid w:val="00E741FC"/>
    <w:rsid w:val="00E7465C"/>
    <w:rsid w:val="00E747DB"/>
    <w:rsid w:val="00E74C01"/>
    <w:rsid w:val="00E74D3E"/>
    <w:rsid w:val="00E7589C"/>
    <w:rsid w:val="00E75E82"/>
    <w:rsid w:val="00E76BEE"/>
    <w:rsid w:val="00E76E52"/>
    <w:rsid w:val="00E81504"/>
    <w:rsid w:val="00E8185C"/>
    <w:rsid w:val="00E82C0A"/>
    <w:rsid w:val="00E82EA3"/>
    <w:rsid w:val="00E8497F"/>
    <w:rsid w:val="00E9089D"/>
    <w:rsid w:val="00E91940"/>
    <w:rsid w:val="00E9265A"/>
    <w:rsid w:val="00E92C9C"/>
    <w:rsid w:val="00E93548"/>
    <w:rsid w:val="00E94551"/>
    <w:rsid w:val="00E9459A"/>
    <w:rsid w:val="00E9484A"/>
    <w:rsid w:val="00E95664"/>
    <w:rsid w:val="00E95D95"/>
    <w:rsid w:val="00E97CD1"/>
    <w:rsid w:val="00E97D7F"/>
    <w:rsid w:val="00EA1207"/>
    <w:rsid w:val="00EA1289"/>
    <w:rsid w:val="00EA1A62"/>
    <w:rsid w:val="00EA2049"/>
    <w:rsid w:val="00EA2D92"/>
    <w:rsid w:val="00EA39ED"/>
    <w:rsid w:val="00EA3ABD"/>
    <w:rsid w:val="00EA4000"/>
    <w:rsid w:val="00EA4A11"/>
    <w:rsid w:val="00EA4A9A"/>
    <w:rsid w:val="00EA5143"/>
    <w:rsid w:val="00EA6514"/>
    <w:rsid w:val="00EA6B00"/>
    <w:rsid w:val="00EA719A"/>
    <w:rsid w:val="00EA7C32"/>
    <w:rsid w:val="00EB01B4"/>
    <w:rsid w:val="00EB17B8"/>
    <w:rsid w:val="00EB1FEF"/>
    <w:rsid w:val="00EB320B"/>
    <w:rsid w:val="00EB3928"/>
    <w:rsid w:val="00EB443F"/>
    <w:rsid w:val="00EB45F2"/>
    <w:rsid w:val="00EB4CEE"/>
    <w:rsid w:val="00EB4F01"/>
    <w:rsid w:val="00EB5A42"/>
    <w:rsid w:val="00EC0277"/>
    <w:rsid w:val="00EC180B"/>
    <w:rsid w:val="00EC22A1"/>
    <w:rsid w:val="00EC3609"/>
    <w:rsid w:val="00EC4B16"/>
    <w:rsid w:val="00EC4B7C"/>
    <w:rsid w:val="00EC5331"/>
    <w:rsid w:val="00EC61D2"/>
    <w:rsid w:val="00EC666A"/>
    <w:rsid w:val="00EC6D31"/>
    <w:rsid w:val="00EC7DA7"/>
    <w:rsid w:val="00ED0204"/>
    <w:rsid w:val="00ED0D9A"/>
    <w:rsid w:val="00ED12BC"/>
    <w:rsid w:val="00ED136F"/>
    <w:rsid w:val="00ED2259"/>
    <w:rsid w:val="00ED4904"/>
    <w:rsid w:val="00ED5012"/>
    <w:rsid w:val="00ED577D"/>
    <w:rsid w:val="00ED74AE"/>
    <w:rsid w:val="00ED7B6A"/>
    <w:rsid w:val="00ED7C53"/>
    <w:rsid w:val="00EE0535"/>
    <w:rsid w:val="00EE0C3D"/>
    <w:rsid w:val="00EE0D65"/>
    <w:rsid w:val="00EE16DD"/>
    <w:rsid w:val="00EE1A82"/>
    <w:rsid w:val="00EE23E6"/>
    <w:rsid w:val="00EE24D1"/>
    <w:rsid w:val="00EE2A26"/>
    <w:rsid w:val="00EE45AB"/>
    <w:rsid w:val="00EE4965"/>
    <w:rsid w:val="00EE51C9"/>
    <w:rsid w:val="00EE592B"/>
    <w:rsid w:val="00EE592C"/>
    <w:rsid w:val="00EE61DA"/>
    <w:rsid w:val="00EE6D3A"/>
    <w:rsid w:val="00EE71CC"/>
    <w:rsid w:val="00EE76C8"/>
    <w:rsid w:val="00EE7DBC"/>
    <w:rsid w:val="00EF0156"/>
    <w:rsid w:val="00EF04B9"/>
    <w:rsid w:val="00EF0AB2"/>
    <w:rsid w:val="00EF1FDA"/>
    <w:rsid w:val="00EF3437"/>
    <w:rsid w:val="00EF471C"/>
    <w:rsid w:val="00EF659C"/>
    <w:rsid w:val="00EF6C5C"/>
    <w:rsid w:val="00EF6CCE"/>
    <w:rsid w:val="00EF76FE"/>
    <w:rsid w:val="00F00FAE"/>
    <w:rsid w:val="00F02139"/>
    <w:rsid w:val="00F02762"/>
    <w:rsid w:val="00F02CF4"/>
    <w:rsid w:val="00F02DD4"/>
    <w:rsid w:val="00F034C7"/>
    <w:rsid w:val="00F03BDD"/>
    <w:rsid w:val="00F04A2B"/>
    <w:rsid w:val="00F05676"/>
    <w:rsid w:val="00F05E0F"/>
    <w:rsid w:val="00F06351"/>
    <w:rsid w:val="00F0744A"/>
    <w:rsid w:val="00F07DB9"/>
    <w:rsid w:val="00F103F6"/>
    <w:rsid w:val="00F120A7"/>
    <w:rsid w:val="00F13501"/>
    <w:rsid w:val="00F135D5"/>
    <w:rsid w:val="00F143D7"/>
    <w:rsid w:val="00F1463C"/>
    <w:rsid w:val="00F14DCC"/>
    <w:rsid w:val="00F15F02"/>
    <w:rsid w:val="00F16C67"/>
    <w:rsid w:val="00F1747B"/>
    <w:rsid w:val="00F204FE"/>
    <w:rsid w:val="00F20886"/>
    <w:rsid w:val="00F214BA"/>
    <w:rsid w:val="00F21F47"/>
    <w:rsid w:val="00F22184"/>
    <w:rsid w:val="00F224B0"/>
    <w:rsid w:val="00F224C1"/>
    <w:rsid w:val="00F2393D"/>
    <w:rsid w:val="00F23F94"/>
    <w:rsid w:val="00F24693"/>
    <w:rsid w:val="00F25B30"/>
    <w:rsid w:val="00F26522"/>
    <w:rsid w:val="00F266B2"/>
    <w:rsid w:val="00F27ACD"/>
    <w:rsid w:val="00F30234"/>
    <w:rsid w:val="00F30F9A"/>
    <w:rsid w:val="00F32A38"/>
    <w:rsid w:val="00F32C1D"/>
    <w:rsid w:val="00F32F87"/>
    <w:rsid w:val="00F3337D"/>
    <w:rsid w:val="00F34318"/>
    <w:rsid w:val="00F35B8F"/>
    <w:rsid w:val="00F35E79"/>
    <w:rsid w:val="00F35E9B"/>
    <w:rsid w:val="00F36EC7"/>
    <w:rsid w:val="00F36F58"/>
    <w:rsid w:val="00F40DD6"/>
    <w:rsid w:val="00F4432D"/>
    <w:rsid w:val="00F4614B"/>
    <w:rsid w:val="00F472A6"/>
    <w:rsid w:val="00F472E1"/>
    <w:rsid w:val="00F4769E"/>
    <w:rsid w:val="00F478D4"/>
    <w:rsid w:val="00F4793E"/>
    <w:rsid w:val="00F47B78"/>
    <w:rsid w:val="00F50539"/>
    <w:rsid w:val="00F50A30"/>
    <w:rsid w:val="00F51D9D"/>
    <w:rsid w:val="00F51E6C"/>
    <w:rsid w:val="00F52819"/>
    <w:rsid w:val="00F53E82"/>
    <w:rsid w:val="00F54096"/>
    <w:rsid w:val="00F549E6"/>
    <w:rsid w:val="00F54BD0"/>
    <w:rsid w:val="00F54C66"/>
    <w:rsid w:val="00F563A2"/>
    <w:rsid w:val="00F56A3D"/>
    <w:rsid w:val="00F578C9"/>
    <w:rsid w:val="00F612E0"/>
    <w:rsid w:val="00F62B2C"/>
    <w:rsid w:val="00F6488E"/>
    <w:rsid w:val="00F64962"/>
    <w:rsid w:val="00F65D2E"/>
    <w:rsid w:val="00F70F46"/>
    <w:rsid w:val="00F71A5E"/>
    <w:rsid w:val="00F71CB0"/>
    <w:rsid w:val="00F73123"/>
    <w:rsid w:val="00F732B1"/>
    <w:rsid w:val="00F75A3B"/>
    <w:rsid w:val="00F76BCD"/>
    <w:rsid w:val="00F80824"/>
    <w:rsid w:val="00F812D9"/>
    <w:rsid w:val="00F81D90"/>
    <w:rsid w:val="00F81F99"/>
    <w:rsid w:val="00F824B9"/>
    <w:rsid w:val="00F8274C"/>
    <w:rsid w:val="00F827D7"/>
    <w:rsid w:val="00F83585"/>
    <w:rsid w:val="00F85C79"/>
    <w:rsid w:val="00F861E5"/>
    <w:rsid w:val="00F86955"/>
    <w:rsid w:val="00F8728E"/>
    <w:rsid w:val="00F87CB3"/>
    <w:rsid w:val="00F87CE0"/>
    <w:rsid w:val="00F90972"/>
    <w:rsid w:val="00F90D2D"/>
    <w:rsid w:val="00F93699"/>
    <w:rsid w:val="00F93AF4"/>
    <w:rsid w:val="00F93B68"/>
    <w:rsid w:val="00F93E80"/>
    <w:rsid w:val="00F943D7"/>
    <w:rsid w:val="00F9516F"/>
    <w:rsid w:val="00F95A06"/>
    <w:rsid w:val="00F95ED1"/>
    <w:rsid w:val="00F972D2"/>
    <w:rsid w:val="00F97343"/>
    <w:rsid w:val="00F97906"/>
    <w:rsid w:val="00FA0EA6"/>
    <w:rsid w:val="00FA1889"/>
    <w:rsid w:val="00FA1B78"/>
    <w:rsid w:val="00FA1D92"/>
    <w:rsid w:val="00FA2090"/>
    <w:rsid w:val="00FA3455"/>
    <w:rsid w:val="00FA4135"/>
    <w:rsid w:val="00FA4A19"/>
    <w:rsid w:val="00FA4A77"/>
    <w:rsid w:val="00FA4BDD"/>
    <w:rsid w:val="00FA537C"/>
    <w:rsid w:val="00FA5498"/>
    <w:rsid w:val="00FA58A8"/>
    <w:rsid w:val="00FA67F0"/>
    <w:rsid w:val="00FA68CB"/>
    <w:rsid w:val="00FA7928"/>
    <w:rsid w:val="00FA7B5F"/>
    <w:rsid w:val="00FA7B8A"/>
    <w:rsid w:val="00FB02D2"/>
    <w:rsid w:val="00FB1042"/>
    <w:rsid w:val="00FB159A"/>
    <w:rsid w:val="00FB1DBA"/>
    <w:rsid w:val="00FB3C44"/>
    <w:rsid w:val="00FB3D66"/>
    <w:rsid w:val="00FB4988"/>
    <w:rsid w:val="00FB5041"/>
    <w:rsid w:val="00FB5128"/>
    <w:rsid w:val="00FB5161"/>
    <w:rsid w:val="00FB6883"/>
    <w:rsid w:val="00FB6914"/>
    <w:rsid w:val="00FC1685"/>
    <w:rsid w:val="00FC1A47"/>
    <w:rsid w:val="00FC2EC4"/>
    <w:rsid w:val="00FC3B94"/>
    <w:rsid w:val="00FC4711"/>
    <w:rsid w:val="00FC4F07"/>
    <w:rsid w:val="00FC593D"/>
    <w:rsid w:val="00FC59A7"/>
    <w:rsid w:val="00FC68D3"/>
    <w:rsid w:val="00FD05FD"/>
    <w:rsid w:val="00FD1512"/>
    <w:rsid w:val="00FD1CC9"/>
    <w:rsid w:val="00FD1CD9"/>
    <w:rsid w:val="00FD3C81"/>
    <w:rsid w:val="00FD3EC3"/>
    <w:rsid w:val="00FD6232"/>
    <w:rsid w:val="00FD6EB9"/>
    <w:rsid w:val="00FD7D9D"/>
    <w:rsid w:val="00FE03B1"/>
    <w:rsid w:val="00FE0626"/>
    <w:rsid w:val="00FE1813"/>
    <w:rsid w:val="00FE2E4E"/>
    <w:rsid w:val="00FE4496"/>
    <w:rsid w:val="00FE4CEE"/>
    <w:rsid w:val="00FE4F4A"/>
    <w:rsid w:val="00FE753A"/>
    <w:rsid w:val="00FE7D2D"/>
    <w:rsid w:val="00FF2749"/>
    <w:rsid w:val="00FF2857"/>
    <w:rsid w:val="00FF2862"/>
    <w:rsid w:val="00FF300B"/>
    <w:rsid w:val="00FF3494"/>
    <w:rsid w:val="00FF403A"/>
    <w:rsid w:val="00FF5951"/>
    <w:rsid w:val="00FF5B50"/>
    <w:rsid w:val="00FF6645"/>
    <w:rsid w:val="00FF6C1C"/>
    <w:rsid w:val="00FF7384"/>
    <w:rsid w:val="00FF7759"/>
    <w:rsid w:val="01833699"/>
    <w:rsid w:val="018533CD"/>
    <w:rsid w:val="0246535B"/>
    <w:rsid w:val="025633C0"/>
    <w:rsid w:val="02AB42BD"/>
    <w:rsid w:val="036F4AF5"/>
    <w:rsid w:val="05A76A4C"/>
    <w:rsid w:val="07095CC8"/>
    <w:rsid w:val="09000221"/>
    <w:rsid w:val="09807678"/>
    <w:rsid w:val="09944A99"/>
    <w:rsid w:val="0A1348C9"/>
    <w:rsid w:val="0BFB2105"/>
    <w:rsid w:val="0C7B653C"/>
    <w:rsid w:val="0D2A5C31"/>
    <w:rsid w:val="0DED5218"/>
    <w:rsid w:val="0DF22425"/>
    <w:rsid w:val="0EE43A50"/>
    <w:rsid w:val="10416F1F"/>
    <w:rsid w:val="10D95179"/>
    <w:rsid w:val="10E0749B"/>
    <w:rsid w:val="11B06C88"/>
    <w:rsid w:val="12C94DC9"/>
    <w:rsid w:val="13311741"/>
    <w:rsid w:val="14BB6C25"/>
    <w:rsid w:val="14DB04C0"/>
    <w:rsid w:val="14EE3919"/>
    <w:rsid w:val="152F7CA6"/>
    <w:rsid w:val="156C1118"/>
    <w:rsid w:val="16144D34"/>
    <w:rsid w:val="16300563"/>
    <w:rsid w:val="16457136"/>
    <w:rsid w:val="170D44D7"/>
    <w:rsid w:val="17157347"/>
    <w:rsid w:val="18034B1C"/>
    <w:rsid w:val="18917144"/>
    <w:rsid w:val="19DB1A02"/>
    <w:rsid w:val="1A493BA4"/>
    <w:rsid w:val="1A8920B3"/>
    <w:rsid w:val="1EB9507F"/>
    <w:rsid w:val="1ED52987"/>
    <w:rsid w:val="1F4A6296"/>
    <w:rsid w:val="1FAD11D5"/>
    <w:rsid w:val="20E8150A"/>
    <w:rsid w:val="22503031"/>
    <w:rsid w:val="22FC10D8"/>
    <w:rsid w:val="237F3947"/>
    <w:rsid w:val="23920E80"/>
    <w:rsid w:val="24101808"/>
    <w:rsid w:val="27017846"/>
    <w:rsid w:val="270D5CC5"/>
    <w:rsid w:val="2821783F"/>
    <w:rsid w:val="28936DDF"/>
    <w:rsid w:val="2A226CB0"/>
    <w:rsid w:val="2A491AEC"/>
    <w:rsid w:val="2B324C07"/>
    <w:rsid w:val="2B9B22FF"/>
    <w:rsid w:val="2BCB13F6"/>
    <w:rsid w:val="2C6C1E73"/>
    <w:rsid w:val="2E3E209A"/>
    <w:rsid w:val="2F604928"/>
    <w:rsid w:val="30014F6A"/>
    <w:rsid w:val="31EE7572"/>
    <w:rsid w:val="359B05E2"/>
    <w:rsid w:val="35E02E1D"/>
    <w:rsid w:val="360C2764"/>
    <w:rsid w:val="37321D6A"/>
    <w:rsid w:val="38C905BB"/>
    <w:rsid w:val="3B413977"/>
    <w:rsid w:val="3B4E6EE5"/>
    <w:rsid w:val="3C4241E0"/>
    <w:rsid w:val="3C683B67"/>
    <w:rsid w:val="3E4B46E2"/>
    <w:rsid w:val="3EF67B21"/>
    <w:rsid w:val="3FD631A6"/>
    <w:rsid w:val="405A4EB8"/>
    <w:rsid w:val="418C7F82"/>
    <w:rsid w:val="422F1DEC"/>
    <w:rsid w:val="42644DA1"/>
    <w:rsid w:val="42852EB2"/>
    <w:rsid w:val="42B85690"/>
    <w:rsid w:val="439E1762"/>
    <w:rsid w:val="4629583F"/>
    <w:rsid w:val="46F532C4"/>
    <w:rsid w:val="47113A71"/>
    <w:rsid w:val="4A3C05FC"/>
    <w:rsid w:val="4BB07BD5"/>
    <w:rsid w:val="4C361C20"/>
    <w:rsid w:val="4CFB084E"/>
    <w:rsid w:val="4D773775"/>
    <w:rsid w:val="4DF673A8"/>
    <w:rsid w:val="4E3710EE"/>
    <w:rsid w:val="50151DD1"/>
    <w:rsid w:val="537762D8"/>
    <w:rsid w:val="55397F4E"/>
    <w:rsid w:val="55DC5327"/>
    <w:rsid w:val="5661471A"/>
    <w:rsid w:val="569021B1"/>
    <w:rsid w:val="56F444EE"/>
    <w:rsid w:val="58E44FA9"/>
    <w:rsid w:val="59D93E6F"/>
    <w:rsid w:val="5B376A6E"/>
    <w:rsid w:val="5B727684"/>
    <w:rsid w:val="5BDE2965"/>
    <w:rsid w:val="5C03141C"/>
    <w:rsid w:val="5C3F2A44"/>
    <w:rsid w:val="5D044CB4"/>
    <w:rsid w:val="60812864"/>
    <w:rsid w:val="611A14B0"/>
    <w:rsid w:val="63AC6647"/>
    <w:rsid w:val="63E15DFA"/>
    <w:rsid w:val="659C09C0"/>
    <w:rsid w:val="65DB294F"/>
    <w:rsid w:val="65E41BD1"/>
    <w:rsid w:val="68DC3A7F"/>
    <w:rsid w:val="695809F7"/>
    <w:rsid w:val="69AB6BED"/>
    <w:rsid w:val="6B445692"/>
    <w:rsid w:val="6D6E5545"/>
    <w:rsid w:val="6FE83D3A"/>
    <w:rsid w:val="70981F36"/>
    <w:rsid w:val="715C46C2"/>
    <w:rsid w:val="71FD62BA"/>
    <w:rsid w:val="72992B52"/>
    <w:rsid w:val="72E53299"/>
    <w:rsid w:val="746D7D60"/>
    <w:rsid w:val="74B60451"/>
    <w:rsid w:val="76C1719D"/>
    <w:rsid w:val="77291B3A"/>
    <w:rsid w:val="778572E8"/>
    <w:rsid w:val="785C4188"/>
    <w:rsid w:val="787D3D64"/>
    <w:rsid w:val="79010030"/>
    <w:rsid w:val="7A0F007C"/>
    <w:rsid w:val="7A480529"/>
    <w:rsid w:val="7A4F768D"/>
    <w:rsid w:val="7B0D508C"/>
    <w:rsid w:val="7C8810B1"/>
    <w:rsid w:val="7D155085"/>
    <w:rsid w:val="7D5064E8"/>
    <w:rsid w:val="7EB85694"/>
    <w:rsid w:val="7F2A5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宋体"/>
      <w:color w:val="000000"/>
      <w:sz w:val="30"/>
      <w:szCs w:val="30"/>
      <w:lang w:val="en-US" w:eastAsia="zh-CN" w:bidi="ar-SA"/>
    </w:rPr>
  </w:style>
  <w:style w:type="paragraph" w:styleId="3">
    <w:name w:val="heading 1"/>
    <w:basedOn w:val="1"/>
    <w:next w:val="1"/>
    <w:link w:val="22"/>
    <w:qFormat/>
    <w:uiPriority w:val="9"/>
    <w:pPr>
      <w:keepNext/>
      <w:keepLines/>
      <w:spacing w:beforeLines="100" w:afterLines="100" w:line="360" w:lineRule="auto"/>
      <w:ind w:firstLine="200" w:firstLineChars="200"/>
      <w:outlineLvl w:val="0"/>
    </w:pPr>
    <w:rPr>
      <w:rFonts w:eastAsia="黑体"/>
      <w:b/>
      <w:bCs/>
      <w:kern w:val="44"/>
      <w:sz w:val="44"/>
      <w:szCs w:val="44"/>
    </w:rPr>
  </w:style>
  <w:style w:type="paragraph" w:styleId="4">
    <w:name w:val="heading 2"/>
    <w:basedOn w:val="1"/>
    <w:next w:val="1"/>
    <w:link w:val="23"/>
    <w:unhideWhenUsed/>
    <w:qFormat/>
    <w:uiPriority w:val="9"/>
    <w:pPr>
      <w:keepNext/>
      <w:keepLines/>
      <w:spacing w:beforeLines="50" w:afterLines="50" w:line="360" w:lineRule="auto"/>
      <w:ind w:firstLine="200" w:firstLineChars="200"/>
      <w:outlineLvl w:val="1"/>
    </w:pPr>
    <w:rPr>
      <w:rFonts w:eastAsia="楷体_GB2312" w:asciiTheme="majorHAnsi" w:hAnsiTheme="majorHAnsi" w:cstheme="majorBidi"/>
      <w:b/>
      <w:bCs/>
      <w:sz w:val="32"/>
      <w:szCs w:val="32"/>
    </w:rPr>
  </w:style>
  <w:style w:type="paragraph" w:styleId="5">
    <w:name w:val="heading 3"/>
    <w:basedOn w:val="1"/>
    <w:next w:val="1"/>
    <w:link w:val="24"/>
    <w:unhideWhenUsed/>
    <w:qFormat/>
    <w:uiPriority w:val="9"/>
    <w:pPr>
      <w:keepNext/>
      <w:keepLines/>
      <w:spacing w:line="360" w:lineRule="auto"/>
      <w:ind w:firstLine="200" w:firstLineChars="200"/>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line="560" w:lineRule="exact"/>
      <w:ind w:firstLine="200" w:firstLineChars="200"/>
      <w:jc w:val="left"/>
    </w:pPr>
    <w:rPr>
      <w:rFonts w:eastAsia="仿宋_GB2312" w:cs="宋体" w:asciiTheme="minorHAnsi" w:hAnsiTheme="minorHAnsi"/>
      <w:sz w:val="32"/>
      <w:szCs w:val="28"/>
      <w:lang w:eastAsia="en-US"/>
    </w:rPr>
  </w:style>
  <w:style w:type="paragraph" w:styleId="6">
    <w:name w:val="Normal Indent"/>
    <w:basedOn w:val="1"/>
    <w:qFormat/>
    <w:uiPriority w:val="0"/>
    <w:pPr>
      <w:ind w:firstLine="420" w:firstLineChars="200"/>
    </w:pPr>
    <w:rPr>
      <w:rFonts w:ascii="Times New Roman" w:hAnsi="Times New Roman" w:eastAsia="宋体" w:cs="Times New Roman"/>
      <w:color w:val="auto"/>
      <w:kern w:val="2"/>
      <w:sz w:val="21"/>
      <w:szCs w:val="20"/>
    </w:rPr>
  </w:style>
  <w:style w:type="paragraph" w:styleId="7">
    <w:name w:val="annotation text"/>
    <w:basedOn w:val="1"/>
    <w:link w:val="36"/>
    <w:semiHidden/>
    <w:unhideWhenUsed/>
    <w:qFormat/>
    <w:uiPriority w:val="99"/>
    <w:pPr>
      <w:jc w:val="left"/>
    </w:pPr>
  </w:style>
  <w:style w:type="paragraph" w:styleId="8">
    <w:name w:val="Body Text Indent"/>
    <w:basedOn w:val="1"/>
    <w:qFormat/>
    <w:uiPriority w:val="0"/>
    <w:pPr>
      <w:spacing w:after="120"/>
      <w:ind w:left="420" w:leftChars="200"/>
    </w:pPr>
  </w:style>
  <w:style w:type="paragraph" w:styleId="9">
    <w:name w:val="Balloon Text"/>
    <w:basedOn w:val="1"/>
    <w:link w:val="31"/>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semiHidden/>
    <w:unhideWhenUsed/>
    <w:qFormat/>
    <w:uiPriority w:val="99"/>
    <w:pPr>
      <w:widowControl/>
      <w:spacing w:before="100" w:beforeAutospacing="1" w:after="100" w:afterAutospacing="1"/>
      <w:jc w:val="left"/>
    </w:pPr>
    <w:rPr>
      <w:rFonts w:ascii="宋体" w:eastAsia="宋体"/>
      <w:color w:val="auto"/>
      <w:sz w:val="24"/>
      <w:szCs w:val="24"/>
    </w:rPr>
  </w:style>
  <w:style w:type="paragraph" w:styleId="15">
    <w:name w:val="annotation subject"/>
    <w:basedOn w:val="7"/>
    <w:next w:val="7"/>
    <w:link w:val="37"/>
    <w:semiHidden/>
    <w:unhideWhenUsed/>
    <w:qFormat/>
    <w:uiPriority w:val="99"/>
    <w:rPr>
      <w:b/>
      <w:bCs/>
    </w:rPr>
  </w:style>
  <w:style w:type="paragraph" w:styleId="16">
    <w:name w:val="Body Text First Indent 2"/>
    <w:basedOn w:val="8"/>
    <w:qFormat/>
    <w:uiPriority w:val="0"/>
    <w:pPr>
      <w:ind w:firstLine="420" w:firstLineChars="200"/>
    </w:pPr>
    <w:rPr>
      <w:rFonts w:ascii="Calibri" w:hAnsi="Calibri"/>
      <w:szCs w:val="24"/>
    </w:rPr>
  </w:style>
  <w:style w:type="character" w:styleId="19">
    <w:name w:val="Emphasis"/>
    <w:basedOn w:val="18"/>
    <w:qFormat/>
    <w:uiPriority w:val="20"/>
    <w:rPr>
      <w:i/>
      <w:iCs/>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0"/>
    <w:rPr>
      <w:sz w:val="21"/>
      <w:szCs w:val="21"/>
    </w:rPr>
  </w:style>
  <w:style w:type="character" w:customStyle="1" w:styleId="22">
    <w:name w:val="标题 1 Char"/>
    <w:basedOn w:val="18"/>
    <w:link w:val="3"/>
    <w:qFormat/>
    <w:uiPriority w:val="9"/>
    <w:rPr>
      <w:rFonts w:eastAsia="黑体"/>
      <w:b/>
      <w:bCs/>
      <w:kern w:val="44"/>
      <w:sz w:val="44"/>
      <w:szCs w:val="44"/>
    </w:rPr>
  </w:style>
  <w:style w:type="character" w:customStyle="1" w:styleId="23">
    <w:name w:val="标题 2 Char"/>
    <w:basedOn w:val="18"/>
    <w:link w:val="4"/>
    <w:qFormat/>
    <w:uiPriority w:val="9"/>
    <w:rPr>
      <w:rFonts w:eastAsia="楷体_GB2312" w:asciiTheme="majorHAnsi" w:hAnsiTheme="majorHAnsi" w:cstheme="majorBidi"/>
      <w:b/>
      <w:bCs/>
      <w:sz w:val="32"/>
      <w:szCs w:val="32"/>
    </w:rPr>
  </w:style>
  <w:style w:type="character" w:customStyle="1" w:styleId="24">
    <w:name w:val="标题 3 Char"/>
    <w:basedOn w:val="18"/>
    <w:link w:val="5"/>
    <w:qFormat/>
    <w:uiPriority w:val="9"/>
    <w:rPr>
      <w:rFonts w:eastAsia="仿宋_GB2312"/>
      <w:b/>
      <w:bCs/>
      <w:sz w:val="32"/>
      <w:szCs w:val="32"/>
    </w:rPr>
  </w:style>
  <w:style w:type="paragraph" w:styleId="25">
    <w:name w:val="List Paragraph"/>
    <w:basedOn w:val="1"/>
    <w:qFormat/>
    <w:uiPriority w:val="34"/>
    <w:pPr>
      <w:spacing w:line="560" w:lineRule="exact"/>
      <w:ind w:firstLine="420" w:firstLineChars="200"/>
    </w:pPr>
    <w:rPr>
      <w:rFonts w:ascii="Times New Roman" w:hAnsi="Times New Roman" w:cs="Times New Roman"/>
      <w:color w:val="auto"/>
      <w:kern w:val="2"/>
      <w:sz w:val="32"/>
      <w:szCs w:val="24"/>
    </w:rPr>
  </w:style>
  <w:style w:type="character" w:customStyle="1" w:styleId="26">
    <w:name w:val="页眉 Char"/>
    <w:basedOn w:val="18"/>
    <w:link w:val="11"/>
    <w:qFormat/>
    <w:uiPriority w:val="99"/>
    <w:rPr>
      <w:rFonts w:ascii="仿宋_GB2312" w:hAnsi="宋体" w:eastAsia="仿宋_GB2312" w:cs="宋体"/>
      <w:color w:val="000000"/>
      <w:kern w:val="0"/>
      <w:sz w:val="18"/>
      <w:szCs w:val="18"/>
    </w:rPr>
  </w:style>
  <w:style w:type="character" w:customStyle="1" w:styleId="27">
    <w:name w:val="页脚 Char"/>
    <w:basedOn w:val="18"/>
    <w:link w:val="10"/>
    <w:qFormat/>
    <w:uiPriority w:val="99"/>
    <w:rPr>
      <w:rFonts w:ascii="仿宋_GB2312" w:hAnsi="宋体" w:eastAsia="仿宋_GB2312" w:cs="宋体"/>
      <w:color w:val="000000"/>
      <w:kern w:val="0"/>
      <w:sz w:val="18"/>
      <w:szCs w:val="18"/>
    </w:rPr>
  </w:style>
  <w:style w:type="paragraph" w:customStyle="1" w:styleId="28">
    <w:name w:val="Char1"/>
    <w:basedOn w:val="1"/>
    <w:qFormat/>
    <w:uiPriority w:val="0"/>
    <w:pPr>
      <w:widowControl/>
      <w:spacing w:after="160" w:line="240" w:lineRule="exact"/>
      <w:jc w:val="left"/>
    </w:pPr>
    <w:rPr>
      <w:rFonts w:ascii="Verdana" w:hAnsi="Verdana" w:cs="”“Times New Roman”“"/>
      <w:color w:val="auto"/>
      <w:sz w:val="24"/>
      <w:szCs w:val="20"/>
      <w:lang w:eastAsia="en-US"/>
    </w:rPr>
  </w:style>
  <w:style w:type="character" w:customStyle="1" w:styleId="29">
    <w:name w:val="NormalCharacter"/>
    <w:qFormat/>
    <w:uiPriority w:val="0"/>
  </w:style>
  <w:style w:type="paragraph" w:customStyle="1" w:styleId="30">
    <w:name w:val="正文首行缩进2"/>
    <w:basedOn w:val="1"/>
    <w:qFormat/>
    <w:uiPriority w:val="0"/>
    <w:pPr>
      <w:ind w:firstLine="200" w:firstLineChars="200"/>
    </w:pPr>
    <w:rPr>
      <w:rFonts w:ascii="黑体" w:hAnsi="Times New Roman"/>
      <w:color w:val="auto"/>
      <w:kern w:val="2"/>
      <w:sz w:val="32"/>
      <w:szCs w:val="32"/>
    </w:rPr>
  </w:style>
  <w:style w:type="character" w:customStyle="1" w:styleId="31">
    <w:name w:val="批注框文本 Char"/>
    <w:basedOn w:val="18"/>
    <w:link w:val="9"/>
    <w:semiHidden/>
    <w:qFormat/>
    <w:uiPriority w:val="99"/>
    <w:rPr>
      <w:rFonts w:ascii="仿宋_GB2312" w:hAnsi="宋体" w:eastAsia="仿宋_GB2312" w:cs="宋体"/>
      <w:color w:val="000000"/>
      <w:kern w:val="0"/>
      <w:sz w:val="18"/>
      <w:szCs w:val="18"/>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列出段落1"/>
    <w:basedOn w:val="1"/>
    <w:unhideWhenUsed/>
    <w:qFormat/>
    <w:uiPriority w:val="34"/>
    <w:pPr>
      <w:ind w:firstLine="420" w:firstLineChars="200"/>
    </w:pPr>
    <w:rPr>
      <w:rFonts w:ascii="Calibri" w:hAnsi="Calibri" w:eastAsia="宋体" w:cs="Times New Roman"/>
      <w:color w:val="auto"/>
      <w:kern w:val="2"/>
      <w:sz w:val="36"/>
      <w:szCs w:val="24"/>
    </w:rPr>
  </w:style>
  <w:style w:type="paragraph" w:customStyle="1" w:styleId="34">
    <w:name w:val="Char Char Char Char Char Char Char"/>
    <w:basedOn w:val="1"/>
    <w:qFormat/>
    <w:uiPriority w:val="0"/>
    <w:rPr>
      <w:rFonts w:ascii="宋体" w:eastAsia="宋体" w:cs="Courier New"/>
      <w:color w:val="auto"/>
      <w:kern w:val="2"/>
      <w:sz w:val="32"/>
      <w:szCs w:val="32"/>
    </w:rPr>
  </w:style>
  <w:style w:type="paragraph" w:customStyle="1" w:styleId="35">
    <w:name w:val="Default"/>
    <w:qFormat/>
    <w:uiPriority w:val="0"/>
    <w:pPr>
      <w:widowControl w:val="0"/>
      <w:autoSpaceDE w:val="0"/>
      <w:autoSpaceDN w:val="0"/>
      <w:adjustRightInd w:val="0"/>
    </w:pPr>
    <w:rPr>
      <w:rFonts w:ascii="楷体_GB2312" w:eastAsia="楷体_GB2312" w:cs="楷体_GB2312" w:hAnsiTheme="minorHAnsi"/>
      <w:color w:val="000000"/>
      <w:sz w:val="24"/>
      <w:szCs w:val="24"/>
      <w:lang w:val="en-US" w:eastAsia="zh-CN" w:bidi="ar-SA"/>
    </w:rPr>
  </w:style>
  <w:style w:type="character" w:customStyle="1" w:styleId="36">
    <w:name w:val="批注文字 Char"/>
    <w:basedOn w:val="18"/>
    <w:link w:val="7"/>
    <w:semiHidden/>
    <w:qFormat/>
    <w:uiPriority w:val="99"/>
    <w:rPr>
      <w:rFonts w:ascii="仿宋_GB2312" w:hAnsi="宋体" w:eastAsia="仿宋_GB2312" w:cs="宋体"/>
      <w:color w:val="000000"/>
      <w:sz w:val="30"/>
      <w:szCs w:val="30"/>
    </w:rPr>
  </w:style>
  <w:style w:type="character" w:customStyle="1" w:styleId="37">
    <w:name w:val="批注主题 Char"/>
    <w:basedOn w:val="36"/>
    <w:link w:val="15"/>
    <w:semiHidden/>
    <w:qFormat/>
    <w:uiPriority w:val="99"/>
    <w:rPr>
      <w:rFonts w:ascii="仿宋_GB2312" w:hAnsi="宋体" w:eastAsia="仿宋_GB2312" w:cs="宋体"/>
      <w:b/>
      <w:bCs/>
      <w:color w:val="000000"/>
      <w:sz w:val="30"/>
      <w:szCs w:val="30"/>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 w:type="paragraph" w:customStyle="1" w:styleId="39">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C560A-78FC-4DC2-82C5-30ECB15EBFD6}">
  <ds:schemaRefs/>
</ds:datastoreItem>
</file>

<file path=docProps/app.xml><?xml version="1.0" encoding="utf-8"?>
<Properties xmlns="http://schemas.openxmlformats.org/officeDocument/2006/extended-properties" xmlns:vt="http://schemas.openxmlformats.org/officeDocument/2006/docPropsVTypes">
  <Template>Normal</Template>
  <Company>北京市安全生产监督管理局</Company>
  <Pages>41</Pages>
  <Words>22247</Words>
  <Characters>22586</Characters>
  <Lines>167</Lines>
  <Paragraphs>47</Paragraphs>
  <TotalTime>1</TotalTime>
  <ScaleCrop>false</ScaleCrop>
  <LinksUpToDate>false</LinksUpToDate>
  <CharactersWithSpaces>22798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2021-08-10T05:54:00Z</dcterms:created>
  <dc:creator>cwj</dc:creator>
  <cp:lastModifiedBy>寻找幸福的丫头</cp:lastModifiedBy>
  <cp:lastPrinted>2022-01-07T10:31:00Z</cp:lastPrinted>
  <dcterms:modified xsi:type="dcterms:W3CDTF">2023-10-11T02:28:15Z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D2B75AC5066B4D9E8F52BDEDB8C68A37</vt:lpwstr>
  </property>
</Properties>
</file>