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F9B1E8">
      <w:pPr>
        <w:spacing w:line="560" w:lineRule="exact"/>
        <w:jc w:val="center"/>
        <w:rPr>
          <w:rFonts w:hint="eastAsia" w:ascii="方正小标宋_GBK" w:hAnsi="方正小标宋_GBK" w:eastAsia="方正小标宋_GBK" w:cs="方正小标宋_GBK"/>
          <w:b w:val="0"/>
          <w:bCs w:val="0"/>
          <w:color w:val="000000"/>
          <w:sz w:val="44"/>
          <w:szCs w:val="44"/>
        </w:rPr>
      </w:pPr>
      <w:r>
        <w:rPr>
          <w:rFonts w:hint="eastAsia" w:ascii="方正小标宋_GBK" w:hAnsi="方正小标宋_GBK" w:eastAsia="方正小标宋_GBK" w:cs="方正小标宋_GBK"/>
          <w:b w:val="0"/>
          <w:bCs w:val="0"/>
          <w:color w:val="000000"/>
          <w:sz w:val="44"/>
          <w:szCs w:val="44"/>
        </w:rPr>
        <w:t>丰益高分子材料（连云港）有限公司食用植物油（中链甘油三酯）生产许可审查方案</w:t>
      </w:r>
    </w:p>
    <w:p w14:paraId="61D2CC7E">
      <w:pPr>
        <w:rPr>
          <w:rFonts w:eastAsia="仿宋" w:cs="Times New Roman"/>
          <w:sz w:val="32"/>
          <w:szCs w:val="32"/>
        </w:rPr>
      </w:pPr>
    </w:p>
    <w:p w14:paraId="2E5F645C">
      <w:pPr>
        <w:keepNext w:val="0"/>
        <w:keepLines w:val="0"/>
        <w:pageBreakBefore w:val="0"/>
        <w:widowControl w:val="0"/>
        <w:kinsoku/>
        <w:wordWrap/>
        <w:overflowPunct/>
        <w:topLinePunct w:val="0"/>
        <w:autoSpaceDE/>
        <w:autoSpaceDN/>
        <w:bidi w:val="0"/>
        <w:spacing w:line="560" w:lineRule="exact"/>
        <w:jc w:val="center"/>
        <w:textAlignment w:val="auto"/>
        <w:rPr>
          <w:rFonts w:hint="eastAsia" w:ascii="黑体" w:hAnsi="黑体" w:eastAsia="黑体" w:cs="黑体"/>
          <w:bCs/>
          <w:color w:val="000000"/>
          <w:sz w:val="32"/>
          <w:szCs w:val="32"/>
        </w:rPr>
      </w:pPr>
      <w:r>
        <w:rPr>
          <w:rFonts w:hint="eastAsia" w:ascii="黑体" w:hAnsi="黑体" w:eastAsia="黑体" w:cs="黑体"/>
          <w:bCs/>
          <w:color w:val="000000"/>
          <w:sz w:val="32"/>
          <w:szCs w:val="32"/>
        </w:rPr>
        <w:t>第一章  许可范围</w:t>
      </w:r>
    </w:p>
    <w:p w14:paraId="3BE25146">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i w:val="0"/>
          <w:color w:val="000000"/>
          <w:kern w:val="2"/>
          <w:sz w:val="32"/>
          <w:szCs w:val="32"/>
          <w:highlight w:val="none"/>
          <w:lang w:val="en-US" w:eastAsia="zh-CN" w:bidi="ar-SA"/>
        </w:rPr>
        <w:t>第一条</w:t>
      </w:r>
      <w:r>
        <w:rPr>
          <w:rFonts w:hint="default" w:ascii="Times New Roman" w:hAnsi="Times New Roman" w:eastAsia="仿宋_GB2312" w:cs="Times New Roman"/>
          <w:b w:val="0"/>
          <w:bCs/>
          <w:i w:val="0"/>
          <w:color w:val="000000"/>
          <w:kern w:val="2"/>
          <w:sz w:val="32"/>
          <w:szCs w:val="32"/>
          <w:highlight w:val="none"/>
          <w:lang w:val="en-US" w:eastAsia="zh-CN" w:bidi="ar-SA"/>
        </w:rPr>
        <w:t>　</w:t>
      </w:r>
      <w:r>
        <w:rPr>
          <w:rFonts w:hint="default" w:ascii="Times New Roman" w:hAnsi="Times New Roman" w:eastAsia="仿宋_GB2312" w:cs="Times New Roman"/>
          <w:sz w:val="32"/>
          <w:szCs w:val="32"/>
        </w:rPr>
        <w:t>为了做好食用植物油（中链甘油三酯）生产许可审查工作，依据《中华人民共和国食品安全法》《中华人民共和国食品安全法实施条例》《食品生产许可管理办法》等有关法律法规、规章和食品安全国家标准，制定食用植物油（中链甘油三酯）生产许可审查方案（以下简称方案）。</w:t>
      </w:r>
    </w:p>
    <w:p w14:paraId="60BB44E7">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val="0"/>
          <w:bCs/>
          <w:i w:val="0"/>
          <w:color w:val="000000"/>
          <w:kern w:val="2"/>
          <w:sz w:val="32"/>
          <w:szCs w:val="32"/>
          <w:highlight w:val="none"/>
          <w:lang w:val="en-US" w:eastAsia="zh-CN" w:bidi="ar-SA"/>
        </w:rPr>
      </w:pPr>
      <w:r>
        <w:rPr>
          <w:rFonts w:hint="default" w:ascii="Times New Roman" w:hAnsi="Times New Roman" w:eastAsia="仿宋_GB2312" w:cs="Times New Roman"/>
          <w:b/>
          <w:bCs w:val="0"/>
          <w:i w:val="0"/>
          <w:color w:val="000000"/>
          <w:kern w:val="2"/>
          <w:sz w:val="32"/>
          <w:szCs w:val="32"/>
          <w:highlight w:val="none"/>
          <w:lang w:val="en-US" w:eastAsia="zh-CN" w:bidi="ar-SA"/>
        </w:rPr>
        <w:t>第二条</w:t>
      </w:r>
      <w:r>
        <w:rPr>
          <w:rFonts w:hint="default" w:ascii="Times New Roman" w:hAnsi="Times New Roman" w:eastAsia="仿宋_GB2312" w:cs="Times New Roman"/>
          <w:b w:val="0"/>
          <w:bCs/>
          <w:i w:val="0"/>
          <w:color w:val="000000"/>
          <w:kern w:val="2"/>
          <w:sz w:val="32"/>
          <w:szCs w:val="32"/>
          <w:highlight w:val="none"/>
          <w:lang w:val="en-US" w:eastAsia="zh-CN" w:bidi="ar-SA"/>
        </w:rPr>
        <w:t>　本方案应与《食品生产许可审查通则》结合使用，适用于中链甘油三酯生产许可审查工作。</w:t>
      </w:r>
      <w:bookmarkStart w:id="0" w:name="OLE_LINK22"/>
      <w:bookmarkStart w:id="1" w:name="OLE_LINK23"/>
      <w:bookmarkStart w:id="2" w:name="OLE_LINK21"/>
      <w:r>
        <w:rPr>
          <w:rFonts w:hint="default" w:ascii="Times New Roman" w:hAnsi="Times New Roman" w:eastAsia="仿宋_GB2312" w:cs="Times New Roman"/>
          <w:b w:val="0"/>
          <w:bCs/>
          <w:i w:val="0"/>
          <w:color w:val="000000"/>
          <w:kern w:val="2"/>
          <w:sz w:val="32"/>
          <w:szCs w:val="32"/>
          <w:highlight w:val="none"/>
          <w:lang w:val="en-US" w:eastAsia="zh-CN" w:bidi="ar-SA"/>
        </w:rPr>
        <w:t>仅有包装场地、工序、设备，没有合理的设备布局和工艺流程的，不予生产许可</w:t>
      </w:r>
      <w:bookmarkEnd w:id="0"/>
      <w:bookmarkEnd w:id="1"/>
      <w:bookmarkEnd w:id="2"/>
      <w:r>
        <w:rPr>
          <w:rFonts w:hint="default" w:ascii="Times New Roman" w:hAnsi="Times New Roman" w:eastAsia="仿宋_GB2312" w:cs="Times New Roman"/>
          <w:b w:val="0"/>
          <w:bCs/>
          <w:i w:val="0"/>
          <w:color w:val="000000"/>
          <w:kern w:val="2"/>
          <w:sz w:val="32"/>
          <w:szCs w:val="32"/>
          <w:highlight w:val="none"/>
          <w:lang w:val="en-US" w:eastAsia="zh-CN" w:bidi="ar-SA"/>
        </w:rPr>
        <w:t>。</w:t>
      </w:r>
    </w:p>
    <w:p w14:paraId="1852259E">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i w:val="0"/>
          <w:color w:val="000000"/>
          <w:kern w:val="2"/>
          <w:sz w:val="32"/>
          <w:szCs w:val="32"/>
          <w:highlight w:val="none"/>
          <w:lang w:val="en-US" w:eastAsia="zh-CN" w:bidi="ar-SA"/>
        </w:rPr>
        <w:t>第三条</w:t>
      </w:r>
      <w:r>
        <w:rPr>
          <w:rFonts w:hint="default" w:ascii="Times New Roman" w:hAnsi="Times New Roman" w:eastAsia="仿宋_GB2312" w:cs="Times New Roman"/>
          <w:b w:val="0"/>
          <w:bCs/>
          <w:i w:val="0"/>
          <w:color w:val="000000"/>
          <w:kern w:val="2"/>
          <w:sz w:val="32"/>
          <w:szCs w:val="32"/>
          <w:highlight w:val="none"/>
          <w:lang w:val="en-US" w:eastAsia="zh-CN" w:bidi="ar-SA"/>
        </w:rPr>
        <w:t>　</w:t>
      </w:r>
      <w:r>
        <w:rPr>
          <w:rFonts w:hint="default" w:ascii="Times New Roman" w:hAnsi="Times New Roman" w:eastAsia="仿宋_GB2312" w:cs="Times New Roman"/>
          <w:sz w:val="32"/>
          <w:szCs w:val="32"/>
        </w:rPr>
        <w:t>本《方案》所称中链甘油三酯是指以植物油（棕榈仁油、椰子油等）和食品级甘油为原料，经过加工制成的产品；中链甘油三酯应符合国家卫生计生委办公厅《关于中链甘油三酯有关问题的复函》（国卫办食品函〔2013〕514号）规定要求，食品生产许可类别为食用植物油，类别编号为0201。</w:t>
      </w:r>
    </w:p>
    <w:p w14:paraId="45064BEC">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i w:val="0"/>
          <w:color w:val="000000"/>
          <w:kern w:val="2"/>
          <w:sz w:val="32"/>
          <w:szCs w:val="32"/>
          <w:highlight w:val="none"/>
          <w:lang w:val="en-US" w:eastAsia="zh-CN" w:bidi="ar-SA"/>
        </w:rPr>
        <w:t>第四条</w:t>
      </w:r>
      <w:r>
        <w:rPr>
          <w:rFonts w:hint="default" w:ascii="Times New Roman" w:hAnsi="Times New Roman" w:eastAsia="仿宋_GB2312" w:cs="Times New Roman"/>
          <w:b w:val="0"/>
          <w:bCs/>
          <w:i w:val="0"/>
          <w:color w:val="000000"/>
          <w:kern w:val="2"/>
          <w:sz w:val="32"/>
          <w:szCs w:val="32"/>
          <w:highlight w:val="none"/>
          <w:lang w:val="en-US" w:eastAsia="zh-CN" w:bidi="ar-SA"/>
        </w:rPr>
        <w:t>　</w:t>
      </w:r>
      <w:r>
        <w:rPr>
          <w:rFonts w:hint="default" w:ascii="Times New Roman" w:hAnsi="Times New Roman" w:eastAsia="仿宋_GB2312" w:cs="Times New Roman"/>
          <w:sz w:val="32"/>
          <w:szCs w:val="32"/>
        </w:rPr>
        <w:t>《方案》中引用的文件、标准通过引用成为《方案》的内容。凡是引用文件、标准，其最新版本（包括所有的修改单）适用于本《方案》。</w:t>
      </w:r>
    </w:p>
    <w:p w14:paraId="2C773F7C">
      <w:pPr>
        <w:keepNext w:val="0"/>
        <w:keepLines w:val="0"/>
        <w:pageBreakBefore w:val="0"/>
        <w:widowControl w:val="0"/>
        <w:kinsoku/>
        <w:wordWrap/>
        <w:overflowPunct/>
        <w:topLinePunct w:val="0"/>
        <w:autoSpaceDE/>
        <w:autoSpaceDN/>
        <w:bidi w:val="0"/>
        <w:spacing w:line="560" w:lineRule="exact"/>
        <w:jc w:val="center"/>
        <w:textAlignment w:val="auto"/>
        <w:rPr>
          <w:rFonts w:hint="default" w:ascii="黑体" w:hAnsi="黑体" w:eastAsia="黑体" w:cs="黑体"/>
          <w:bCs/>
          <w:color w:val="000000"/>
          <w:sz w:val="32"/>
          <w:szCs w:val="32"/>
        </w:rPr>
      </w:pPr>
      <w:r>
        <w:rPr>
          <w:rFonts w:hint="default" w:ascii="黑体" w:hAnsi="黑体" w:eastAsia="黑体" w:cs="黑体"/>
          <w:bCs/>
          <w:color w:val="000000"/>
          <w:sz w:val="32"/>
          <w:szCs w:val="32"/>
        </w:rPr>
        <w:t>第二章  生产场所</w:t>
      </w:r>
    </w:p>
    <w:p w14:paraId="0C3FA778">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i w:val="0"/>
          <w:color w:val="000000"/>
          <w:kern w:val="2"/>
          <w:sz w:val="32"/>
          <w:szCs w:val="32"/>
          <w:highlight w:val="none"/>
          <w:lang w:val="en-US" w:eastAsia="zh-CN" w:bidi="ar-SA"/>
        </w:rPr>
        <w:t>第五条</w:t>
      </w:r>
      <w:r>
        <w:rPr>
          <w:rFonts w:hint="default" w:ascii="Times New Roman" w:hAnsi="Times New Roman" w:eastAsia="仿宋_GB2312" w:cs="Times New Roman"/>
          <w:b w:val="0"/>
          <w:bCs/>
          <w:i w:val="0"/>
          <w:color w:val="000000"/>
          <w:kern w:val="2"/>
          <w:sz w:val="32"/>
          <w:szCs w:val="32"/>
          <w:highlight w:val="none"/>
          <w:lang w:val="en-US" w:eastAsia="zh-CN" w:bidi="ar-SA"/>
        </w:rPr>
        <w:t>　</w:t>
      </w:r>
      <w:r>
        <w:rPr>
          <w:rFonts w:hint="default" w:ascii="Times New Roman" w:hAnsi="Times New Roman" w:eastAsia="仿宋_GB2312" w:cs="Times New Roman"/>
          <w:sz w:val="32"/>
          <w:szCs w:val="32"/>
        </w:rPr>
        <w:t>厂区、厂房和车间、库房要求应当符合</w:t>
      </w:r>
      <w:bookmarkStart w:id="3" w:name="OLE_LINK1"/>
      <w:r>
        <w:rPr>
          <w:rFonts w:hint="default" w:ascii="Times New Roman" w:hAnsi="Times New Roman" w:eastAsia="仿宋_GB2312" w:cs="Times New Roman"/>
          <w:sz w:val="32"/>
          <w:szCs w:val="32"/>
        </w:rPr>
        <w:t>《食品安全国家标准 食品生产通用卫生规范》（GB 14881）</w:t>
      </w:r>
      <w:bookmarkEnd w:id="3"/>
      <w:r>
        <w:rPr>
          <w:rFonts w:hint="default" w:ascii="Times New Roman" w:hAnsi="Times New Roman" w:eastAsia="仿宋_GB2312" w:cs="Times New Roman"/>
          <w:sz w:val="32"/>
          <w:szCs w:val="32"/>
        </w:rPr>
        <w:t>中生产场所相关规定。</w:t>
      </w:r>
    </w:p>
    <w:p w14:paraId="13753681">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i w:val="0"/>
          <w:color w:val="000000"/>
          <w:kern w:val="2"/>
          <w:sz w:val="32"/>
          <w:szCs w:val="32"/>
          <w:highlight w:val="none"/>
          <w:lang w:val="en-US" w:eastAsia="zh-CN" w:bidi="ar-SA"/>
        </w:rPr>
        <w:t>第六条</w:t>
      </w:r>
      <w:r>
        <w:rPr>
          <w:rFonts w:hint="default" w:ascii="Times New Roman" w:hAnsi="Times New Roman" w:eastAsia="仿宋_GB2312" w:cs="Times New Roman"/>
          <w:b w:val="0"/>
          <w:bCs/>
          <w:i w:val="0"/>
          <w:color w:val="000000"/>
          <w:kern w:val="2"/>
          <w:sz w:val="32"/>
          <w:szCs w:val="32"/>
          <w:highlight w:val="none"/>
          <w:lang w:val="en-US" w:eastAsia="zh-CN" w:bidi="ar-SA"/>
        </w:rPr>
        <w:t>　</w:t>
      </w:r>
      <w:r>
        <w:rPr>
          <w:rFonts w:hint="default" w:ascii="Times New Roman" w:hAnsi="Times New Roman" w:eastAsia="仿宋_GB2312" w:cs="Times New Roman"/>
          <w:sz w:val="32"/>
          <w:szCs w:val="32"/>
        </w:rPr>
        <w:t>企业应根据产品特点及工艺要求设置相应的生产场所，具有与生产产品相适应的生产车间、原料及成品库房等。生产车间及辅助设施的设置应当按生产工艺、卫生控制要求有序合理布局，根据生产流程、操作需要和清洁程度要求进行分离或分隔，避免交叉污染。</w:t>
      </w:r>
    </w:p>
    <w:p w14:paraId="45D31198">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i w:val="0"/>
          <w:color w:val="000000"/>
          <w:kern w:val="2"/>
          <w:sz w:val="32"/>
          <w:szCs w:val="32"/>
          <w:highlight w:val="none"/>
          <w:lang w:val="en-US" w:eastAsia="zh-CN" w:bidi="ar-SA"/>
        </w:rPr>
        <w:t>第七条</w:t>
      </w:r>
      <w:r>
        <w:rPr>
          <w:rFonts w:hint="default" w:ascii="Times New Roman" w:hAnsi="Times New Roman" w:eastAsia="仿宋_GB2312" w:cs="Times New Roman"/>
          <w:b w:val="0"/>
          <w:bCs/>
          <w:i w:val="0"/>
          <w:color w:val="000000"/>
          <w:kern w:val="2"/>
          <w:sz w:val="32"/>
          <w:szCs w:val="32"/>
          <w:highlight w:val="none"/>
          <w:lang w:val="en-US" w:eastAsia="zh-CN" w:bidi="ar-SA"/>
        </w:rPr>
        <w:t>　</w:t>
      </w:r>
      <w:r>
        <w:rPr>
          <w:rFonts w:hint="default" w:ascii="Times New Roman" w:hAnsi="Times New Roman" w:eastAsia="仿宋_GB2312" w:cs="Times New Roman"/>
          <w:sz w:val="32"/>
          <w:szCs w:val="32"/>
        </w:rPr>
        <w:t>生产作业区域划分为</w:t>
      </w:r>
      <w:r>
        <w:rPr>
          <w:rFonts w:hint="default" w:ascii="Times New Roman" w:hAnsi="Times New Roman" w:eastAsia="仿宋_GB2312" w:cs="Times New Roman"/>
          <w:color w:val="000000" w:themeColor="text1"/>
          <w:sz w:val="32"/>
          <w:szCs w:val="32"/>
          <w14:textFill>
            <w14:solidFill>
              <w14:schemeClr w14:val="tx1"/>
            </w14:solidFill>
          </w14:textFill>
        </w:rPr>
        <w:t>一般作业区（包括原料储罐区、成品储罐区、成品仓库、包装材料仓库、辅料和加工助剂仓库等）、准清洁作业区（包括：反应（酯化、脱酸）、后处理（脱色）、汽提、过滤等生产车间）、清洁作业区（灌装车间）</w:t>
      </w:r>
      <w:r>
        <w:rPr>
          <w:rFonts w:hint="default" w:ascii="Times New Roman" w:hAnsi="Times New Roman" w:eastAsia="仿宋_GB2312" w:cs="Times New Roman"/>
          <w:sz w:val="32"/>
          <w:szCs w:val="32"/>
        </w:rPr>
        <w:t>等，不同作业区之间应当有效分离或分隔。厂区各生产作业区域应当有显著标识加以区分。</w:t>
      </w:r>
    </w:p>
    <w:p w14:paraId="6949130E">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i w:val="0"/>
          <w:color w:val="000000"/>
          <w:kern w:val="2"/>
          <w:sz w:val="32"/>
          <w:szCs w:val="32"/>
          <w:highlight w:val="none"/>
          <w:lang w:val="en-US" w:eastAsia="zh-CN" w:bidi="ar-SA"/>
        </w:rPr>
        <w:t>第八条</w:t>
      </w:r>
      <w:r>
        <w:rPr>
          <w:rFonts w:hint="default" w:ascii="Times New Roman" w:hAnsi="Times New Roman" w:eastAsia="仿宋_GB2312" w:cs="Times New Roman"/>
          <w:b w:val="0"/>
          <w:bCs/>
          <w:i w:val="0"/>
          <w:color w:val="000000"/>
          <w:kern w:val="2"/>
          <w:sz w:val="32"/>
          <w:szCs w:val="32"/>
          <w:highlight w:val="none"/>
          <w:lang w:val="en-US" w:eastAsia="zh-CN" w:bidi="ar-SA"/>
        </w:rPr>
        <w:t>　</w:t>
      </w:r>
      <w:r>
        <w:rPr>
          <w:rFonts w:hint="default" w:ascii="Times New Roman" w:hAnsi="Times New Roman" w:eastAsia="仿宋_GB2312" w:cs="Times New Roman"/>
          <w:sz w:val="32"/>
          <w:szCs w:val="32"/>
        </w:rPr>
        <w:t>清洁作业区应对空气进行过滤净化处理，安装空气过滤装置并定期清洁、维护，确保空气洁净度满足生产要求。</w:t>
      </w:r>
    </w:p>
    <w:p w14:paraId="7EA5F514">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i w:val="0"/>
          <w:color w:val="000000"/>
          <w:kern w:val="2"/>
          <w:sz w:val="32"/>
          <w:szCs w:val="32"/>
          <w:highlight w:val="none"/>
          <w:lang w:val="en-US" w:eastAsia="zh-CN" w:bidi="ar-SA"/>
        </w:rPr>
        <w:t>第九条</w:t>
      </w:r>
      <w:r>
        <w:rPr>
          <w:rFonts w:hint="default" w:ascii="Times New Roman" w:hAnsi="Times New Roman" w:eastAsia="仿宋_GB2312" w:cs="Times New Roman"/>
          <w:b w:val="0"/>
          <w:bCs/>
          <w:i w:val="0"/>
          <w:color w:val="000000"/>
          <w:kern w:val="2"/>
          <w:sz w:val="32"/>
          <w:szCs w:val="32"/>
          <w:highlight w:val="none"/>
          <w:lang w:val="en-US" w:eastAsia="zh-CN" w:bidi="ar-SA"/>
        </w:rPr>
        <w:t>　</w:t>
      </w:r>
      <w:r>
        <w:rPr>
          <w:rFonts w:hint="default" w:ascii="Times New Roman" w:hAnsi="Times New Roman" w:eastAsia="仿宋_GB2312" w:cs="Times New Roman"/>
          <w:sz w:val="32"/>
          <w:szCs w:val="32"/>
        </w:rPr>
        <w:t>灌装车间应与其他作业区域进行分隔，防止交叉污染，车间入口应设有与车间人数相适应的更衣室，工作服与个人服装及其他物品应分开放置。</w:t>
      </w:r>
    </w:p>
    <w:p w14:paraId="3FB7EC50">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i w:val="0"/>
          <w:color w:val="000000"/>
          <w:kern w:val="2"/>
          <w:sz w:val="32"/>
          <w:szCs w:val="32"/>
          <w:highlight w:val="none"/>
          <w:lang w:val="en-US" w:eastAsia="zh-CN" w:bidi="ar-SA"/>
        </w:rPr>
        <w:t>第十条</w:t>
      </w:r>
      <w:r>
        <w:rPr>
          <w:rFonts w:hint="default" w:ascii="Times New Roman" w:hAnsi="Times New Roman" w:eastAsia="仿宋_GB2312" w:cs="Times New Roman"/>
          <w:b w:val="0"/>
          <w:bCs/>
          <w:i w:val="0"/>
          <w:color w:val="000000"/>
          <w:kern w:val="2"/>
          <w:sz w:val="32"/>
          <w:szCs w:val="32"/>
          <w:highlight w:val="none"/>
          <w:lang w:val="en-US" w:eastAsia="zh-CN" w:bidi="ar-SA"/>
        </w:rPr>
        <w:t>　</w:t>
      </w:r>
      <w:r>
        <w:rPr>
          <w:rFonts w:hint="default" w:ascii="Times New Roman" w:hAnsi="Times New Roman" w:eastAsia="仿宋_GB2312" w:cs="Times New Roman"/>
          <w:sz w:val="32"/>
          <w:szCs w:val="32"/>
        </w:rPr>
        <w:t>屋顶或天花板应使用白色或浅色防水、防霉材料建造，防止灰尘积聚、避免脱落。</w:t>
      </w:r>
    </w:p>
    <w:p w14:paraId="0DF19035">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i w:val="0"/>
          <w:color w:val="000000"/>
          <w:kern w:val="2"/>
          <w:sz w:val="32"/>
          <w:szCs w:val="32"/>
          <w:highlight w:val="none"/>
          <w:lang w:val="en-US" w:eastAsia="zh-CN" w:bidi="ar-SA"/>
        </w:rPr>
        <w:t>第十一条</w:t>
      </w:r>
      <w:r>
        <w:rPr>
          <w:rFonts w:hint="default" w:ascii="Times New Roman" w:hAnsi="Times New Roman" w:eastAsia="仿宋_GB2312" w:cs="Times New Roman"/>
          <w:b w:val="0"/>
          <w:bCs/>
          <w:i w:val="0"/>
          <w:color w:val="000000"/>
          <w:kern w:val="2"/>
          <w:sz w:val="32"/>
          <w:szCs w:val="32"/>
          <w:highlight w:val="none"/>
          <w:lang w:val="en-US" w:eastAsia="zh-CN" w:bidi="ar-SA"/>
        </w:rPr>
        <w:t>　</w:t>
      </w:r>
      <w:r>
        <w:rPr>
          <w:rFonts w:hint="default" w:ascii="Times New Roman" w:hAnsi="Times New Roman" w:eastAsia="仿宋_GB2312" w:cs="Times New Roman"/>
          <w:sz w:val="32"/>
          <w:szCs w:val="32"/>
        </w:rPr>
        <w:t>采用全封闭管道化生产的加工过程，可使用敞开式车间，其物料添加口应做好防护，防止异物落入，确保无食品安全风险。</w:t>
      </w:r>
    </w:p>
    <w:p w14:paraId="0735FE40">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i w:val="0"/>
          <w:color w:val="000000"/>
          <w:kern w:val="2"/>
          <w:sz w:val="32"/>
          <w:szCs w:val="32"/>
          <w:highlight w:val="none"/>
          <w:lang w:val="en-US" w:eastAsia="zh-CN" w:bidi="ar-SA"/>
        </w:rPr>
        <w:t>第十二条</w:t>
      </w:r>
      <w:r>
        <w:rPr>
          <w:rFonts w:hint="default" w:ascii="Times New Roman" w:hAnsi="Times New Roman" w:eastAsia="仿宋_GB2312" w:cs="Times New Roman"/>
          <w:b w:val="0"/>
          <w:bCs/>
          <w:i w:val="0"/>
          <w:color w:val="000000"/>
          <w:kern w:val="2"/>
          <w:sz w:val="32"/>
          <w:szCs w:val="32"/>
          <w:highlight w:val="none"/>
          <w:lang w:val="en-US" w:eastAsia="zh-CN" w:bidi="ar-SA"/>
        </w:rPr>
        <w:t>　</w:t>
      </w:r>
      <w:r>
        <w:rPr>
          <w:rFonts w:hint="default" w:ascii="Times New Roman" w:hAnsi="Times New Roman" w:eastAsia="仿宋_GB2312" w:cs="Times New Roman"/>
          <w:sz w:val="32"/>
          <w:szCs w:val="32"/>
        </w:rPr>
        <w:t xml:space="preserve">生产车间内地面应设置地沟，并保持排水通畅，防止积水；在车间外适宜的位置设置隔油捕集池，以避免车间内异味和卫生隐患。 </w:t>
      </w:r>
    </w:p>
    <w:p w14:paraId="2F429D85">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i w:val="0"/>
          <w:color w:val="000000"/>
          <w:kern w:val="2"/>
          <w:sz w:val="32"/>
          <w:szCs w:val="32"/>
          <w:highlight w:val="none"/>
          <w:lang w:val="en-US" w:eastAsia="zh-CN" w:bidi="ar-SA"/>
        </w:rPr>
        <w:t>第十三条</w:t>
      </w:r>
      <w:r>
        <w:rPr>
          <w:rFonts w:hint="default" w:ascii="Times New Roman" w:hAnsi="Times New Roman" w:eastAsia="仿宋_GB2312" w:cs="Times New Roman"/>
          <w:b w:val="0"/>
          <w:bCs/>
          <w:i w:val="0"/>
          <w:color w:val="000000"/>
          <w:kern w:val="2"/>
          <w:sz w:val="32"/>
          <w:szCs w:val="32"/>
          <w:highlight w:val="none"/>
          <w:lang w:val="en-US" w:eastAsia="zh-CN" w:bidi="ar-SA"/>
        </w:rPr>
        <w:t>　</w:t>
      </w:r>
      <w:r>
        <w:rPr>
          <w:rFonts w:hint="default" w:ascii="Times New Roman" w:hAnsi="Times New Roman" w:eastAsia="仿宋_GB2312" w:cs="Times New Roman"/>
          <w:sz w:val="32"/>
          <w:szCs w:val="32"/>
        </w:rPr>
        <w:t>各功能区、仓库等封闭式贮存场所应当采取有效措施(如纱窗、挡鼠板、风幕机等)，防止鼠类、昆虫等虫害侵入。</w:t>
      </w:r>
    </w:p>
    <w:p w14:paraId="5A35DC23">
      <w:pPr>
        <w:keepNext w:val="0"/>
        <w:keepLines w:val="0"/>
        <w:pageBreakBefore w:val="0"/>
        <w:widowControl w:val="0"/>
        <w:kinsoku/>
        <w:wordWrap/>
        <w:overflowPunct/>
        <w:topLinePunct w:val="0"/>
        <w:autoSpaceDE/>
        <w:autoSpaceDN/>
        <w:bidi w:val="0"/>
        <w:spacing w:line="560" w:lineRule="exact"/>
        <w:jc w:val="center"/>
        <w:textAlignment w:val="auto"/>
        <w:rPr>
          <w:rFonts w:hint="default" w:ascii="Times New Roman" w:hAnsi="Times New Roman" w:eastAsia="仿宋_GB2312" w:cs="Times New Roman"/>
          <w:bCs/>
          <w:color w:val="000000"/>
          <w:sz w:val="32"/>
          <w:szCs w:val="32"/>
        </w:rPr>
      </w:pPr>
      <w:r>
        <w:rPr>
          <w:rFonts w:hint="default" w:ascii="黑体" w:hAnsi="黑体" w:eastAsia="黑体" w:cs="黑体"/>
          <w:bCs/>
          <w:color w:val="000000"/>
          <w:sz w:val="32"/>
          <w:szCs w:val="32"/>
        </w:rPr>
        <w:t>第三章  设备设施</w:t>
      </w:r>
    </w:p>
    <w:p w14:paraId="33BE04E1">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i w:val="0"/>
          <w:color w:val="000000"/>
          <w:kern w:val="2"/>
          <w:sz w:val="32"/>
          <w:szCs w:val="32"/>
          <w:highlight w:val="none"/>
          <w:lang w:val="en-US" w:eastAsia="zh-CN" w:bidi="ar-SA"/>
        </w:rPr>
        <w:t>第十四条</w:t>
      </w:r>
      <w:r>
        <w:rPr>
          <w:rFonts w:hint="default" w:ascii="Times New Roman" w:hAnsi="Times New Roman" w:eastAsia="仿宋_GB2312" w:cs="Times New Roman"/>
          <w:b w:val="0"/>
          <w:bCs/>
          <w:i w:val="0"/>
          <w:color w:val="000000"/>
          <w:kern w:val="2"/>
          <w:sz w:val="32"/>
          <w:szCs w:val="32"/>
          <w:highlight w:val="none"/>
          <w:lang w:val="en-US" w:eastAsia="zh-CN" w:bidi="ar-SA"/>
        </w:rPr>
        <w:t>　</w:t>
      </w:r>
      <w:r>
        <w:rPr>
          <w:rFonts w:hint="default" w:ascii="Times New Roman" w:hAnsi="Times New Roman" w:eastAsia="仿宋_GB2312" w:cs="Times New Roman"/>
          <w:sz w:val="32"/>
          <w:szCs w:val="32"/>
        </w:rPr>
        <w:t>企业应当具有与生产产品品种、数量相适应的生产设备设施。设备设施的性能和精度应当满足生产加工的要求，设备设施应当便于操作、清洁、维护。</w:t>
      </w:r>
    </w:p>
    <w:p w14:paraId="728F398F">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i w:val="0"/>
          <w:color w:val="000000"/>
          <w:kern w:val="2"/>
          <w:sz w:val="32"/>
          <w:szCs w:val="32"/>
          <w:highlight w:val="none"/>
          <w:lang w:val="en-US" w:eastAsia="zh-CN" w:bidi="ar-SA"/>
        </w:rPr>
        <w:t>第十五条</w:t>
      </w:r>
      <w:r>
        <w:rPr>
          <w:rFonts w:hint="default" w:ascii="Times New Roman" w:hAnsi="Times New Roman" w:eastAsia="仿宋_GB2312" w:cs="Times New Roman"/>
          <w:b w:val="0"/>
          <w:bCs/>
          <w:i w:val="0"/>
          <w:color w:val="000000"/>
          <w:kern w:val="2"/>
          <w:sz w:val="32"/>
          <w:szCs w:val="32"/>
          <w:highlight w:val="none"/>
          <w:lang w:val="en-US" w:eastAsia="zh-CN" w:bidi="ar-SA"/>
        </w:rPr>
        <w:t>　</w:t>
      </w:r>
      <w:r>
        <w:rPr>
          <w:rFonts w:hint="default" w:ascii="Times New Roman" w:hAnsi="Times New Roman" w:eastAsia="仿宋_GB2312" w:cs="Times New Roman"/>
          <w:sz w:val="32"/>
          <w:szCs w:val="32"/>
        </w:rPr>
        <w:t>生产设备和设施应当根据实际工艺需要配备，一般包括：储油罐、液位测量装置、反应（酯化、脱酸）设备、汽提设备、脱色设备、过滤设备、定量灌装设备、计量/投料设备等。</w:t>
      </w:r>
    </w:p>
    <w:p w14:paraId="24E783C8">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i w:val="0"/>
          <w:color w:val="000000"/>
          <w:kern w:val="2"/>
          <w:sz w:val="32"/>
          <w:szCs w:val="32"/>
          <w:highlight w:val="none"/>
          <w:lang w:val="en-US" w:eastAsia="zh-CN" w:bidi="ar-SA"/>
        </w:rPr>
        <w:t>第十六条</w:t>
      </w:r>
      <w:r>
        <w:rPr>
          <w:rFonts w:hint="default" w:ascii="Times New Roman" w:hAnsi="Times New Roman" w:eastAsia="仿宋_GB2312" w:cs="Times New Roman"/>
          <w:b w:val="0"/>
          <w:bCs/>
          <w:i w:val="0"/>
          <w:color w:val="000000"/>
          <w:kern w:val="2"/>
          <w:sz w:val="32"/>
          <w:szCs w:val="32"/>
          <w:highlight w:val="none"/>
          <w:lang w:val="en-US" w:eastAsia="zh-CN" w:bidi="ar-SA"/>
        </w:rPr>
        <w:t>　</w:t>
      </w:r>
      <w:r>
        <w:rPr>
          <w:rFonts w:hint="default" w:ascii="Times New Roman" w:hAnsi="Times New Roman" w:eastAsia="仿宋_GB2312" w:cs="Times New Roman"/>
          <w:sz w:val="32"/>
          <w:szCs w:val="32"/>
        </w:rPr>
        <w:t>用于生产的计量器具和关键仪表应定期进行校准或检定，如压力表、灌装秤等。与设备连接的主要固定管道，应当标明管内物料名称和物料流向等。</w:t>
      </w:r>
    </w:p>
    <w:p w14:paraId="01B1F577">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i w:val="0"/>
          <w:color w:val="000000"/>
          <w:kern w:val="2"/>
          <w:sz w:val="32"/>
          <w:szCs w:val="32"/>
          <w:highlight w:val="none"/>
          <w:lang w:val="en-US" w:eastAsia="zh-CN" w:bidi="ar-SA"/>
        </w:rPr>
        <w:t>第十七条</w:t>
      </w:r>
      <w:r>
        <w:rPr>
          <w:rFonts w:hint="default" w:ascii="Times New Roman" w:hAnsi="Times New Roman" w:eastAsia="仿宋_GB2312" w:cs="Times New Roman"/>
          <w:b w:val="0"/>
          <w:bCs/>
          <w:i w:val="0"/>
          <w:color w:val="000000"/>
          <w:kern w:val="2"/>
          <w:sz w:val="32"/>
          <w:szCs w:val="32"/>
          <w:highlight w:val="none"/>
          <w:lang w:val="en-US" w:eastAsia="zh-CN" w:bidi="ar-SA"/>
        </w:rPr>
        <w:t>　</w:t>
      </w:r>
      <w:r>
        <w:rPr>
          <w:rFonts w:hint="default" w:ascii="Times New Roman" w:hAnsi="Times New Roman" w:eastAsia="仿宋_GB2312" w:cs="Times New Roman"/>
          <w:sz w:val="32"/>
          <w:szCs w:val="32"/>
        </w:rPr>
        <w:t xml:space="preserve">与原料、半成品、成品直接接触的设备、工具和容器，应当使用不与物料发生反应、不迁移有害物质的食品级材料制造，不应使用镀锌、铜及其合金等材料。食品接触面的材质应当符合食品安全相关标准的要求。 </w:t>
      </w:r>
    </w:p>
    <w:p w14:paraId="086D7A6E">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i w:val="0"/>
          <w:color w:val="000000"/>
          <w:kern w:val="2"/>
          <w:sz w:val="32"/>
          <w:szCs w:val="32"/>
          <w:highlight w:val="none"/>
          <w:lang w:val="en-US" w:eastAsia="zh-CN" w:bidi="ar-SA"/>
        </w:rPr>
        <w:t>第十八条</w:t>
      </w:r>
      <w:r>
        <w:rPr>
          <w:rFonts w:hint="default" w:ascii="Times New Roman" w:hAnsi="Times New Roman" w:eastAsia="仿宋_GB2312" w:cs="Times New Roman"/>
          <w:b w:val="0"/>
          <w:bCs/>
          <w:i w:val="0"/>
          <w:color w:val="000000"/>
          <w:kern w:val="2"/>
          <w:sz w:val="32"/>
          <w:szCs w:val="32"/>
          <w:highlight w:val="none"/>
          <w:lang w:val="en-US" w:eastAsia="zh-CN" w:bidi="ar-SA"/>
        </w:rPr>
        <w:t>　</w:t>
      </w:r>
      <w:r>
        <w:rPr>
          <w:rFonts w:hint="default" w:ascii="Times New Roman" w:hAnsi="Times New Roman" w:eastAsia="仿宋_GB2312" w:cs="Times New Roman"/>
          <w:sz w:val="32"/>
          <w:szCs w:val="32"/>
        </w:rPr>
        <w:t>中链甘油三酯加工过程中使用的与产品直接接触的蒸汽用水、食品接触表面的清洁用水应当符合《生活饮用水卫生标准》（GB 5749）的规定。</w:t>
      </w:r>
    </w:p>
    <w:p w14:paraId="31E4C082">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i w:val="0"/>
          <w:color w:val="000000"/>
          <w:kern w:val="2"/>
          <w:sz w:val="32"/>
          <w:szCs w:val="32"/>
          <w:highlight w:val="none"/>
          <w:lang w:val="en-US" w:eastAsia="zh-CN" w:bidi="ar-SA"/>
        </w:rPr>
        <w:t>第十九条</w:t>
      </w:r>
      <w:r>
        <w:rPr>
          <w:rFonts w:hint="default" w:ascii="Times New Roman" w:hAnsi="Times New Roman" w:eastAsia="仿宋_GB2312" w:cs="Times New Roman"/>
          <w:b w:val="0"/>
          <w:bCs/>
          <w:i w:val="0"/>
          <w:color w:val="000000"/>
          <w:kern w:val="2"/>
          <w:sz w:val="32"/>
          <w:szCs w:val="32"/>
          <w:highlight w:val="none"/>
          <w:lang w:val="en-US" w:eastAsia="zh-CN" w:bidi="ar-SA"/>
        </w:rPr>
        <w:t>　</w:t>
      </w:r>
      <w:r>
        <w:rPr>
          <w:rFonts w:hint="default" w:ascii="Times New Roman" w:hAnsi="Times New Roman" w:eastAsia="仿宋_GB2312" w:cs="Times New Roman"/>
          <w:sz w:val="32"/>
          <w:szCs w:val="32"/>
        </w:rPr>
        <w:t>与设备连接的主要固定管道，应标明管内物料名称及流向，并定期检查，防止损坏、泄漏。当管路上设有防混阀或转换板等时，应定期检查，防止泄漏，避免污染。</w:t>
      </w:r>
    </w:p>
    <w:p w14:paraId="56228DFC">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i w:val="0"/>
          <w:color w:val="000000"/>
          <w:kern w:val="2"/>
          <w:sz w:val="32"/>
          <w:szCs w:val="32"/>
          <w:highlight w:val="none"/>
          <w:lang w:val="en-US" w:eastAsia="zh-CN" w:bidi="ar-SA"/>
        </w:rPr>
        <w:t>第二十条</w:t>
      </w:r>
      <w:r>
        <w:rPr>
          <w:rFonts w:hint="default" w:ascii="Times New Roman" w:hAnsi="Times New Roman" w:eastAsia="仿宋_GB2312" w:cs="Times New Roman"/>
          <w:b w:val="0"/>
          <w:bCs/>
          <w:i w:val="0"/>
          <w:color w:val="000000"/>
          <w:kern w:val="2"/>
          <w:sz w:val="32"/>
          <w:szCs w:val="32"/>
          <w:highlight w:val="none"/>
          <w:lang w:val="en-US" w:eastAsia="zh-CN" w:bidi="ar-SA"/>
        </w:rPr>
        <w:t>　</w:t>
      </w:r>
      <w:r>
        <w:rPr>
          <w:rFonts w:hint="default" w:ascii="Times New Roman" w:hAnsi="Times New Roman" w:eastAsia="仿宋_GB2312" w:cs="Times New Roman"/>
          <w:sz w:val="32"/>
          <w:szCs w:val="32"/>
        </w:rPr>
        <w:t>企业应当具备供排水设施、通风设施、照明设施、温控设施以及仓储设施等。设施应当符合《食品安全国家标准 食品生产通用卫生规范》（GB 14881）中相关规定。</w:t>
      </w:r>
    </w:p>
    <w:p w14:paraId="422AF2B3">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i w:val="0"/>
          <w:color w:val="000000"/>
          <w:kern w:val="2"/>
          <w:sz w:val="32"/>
          <w:szCs w:val="32"/>
          <w:highlight w:val="none"/>
          <w:lang w:val="en-US" w:eastAsia="zh-CN" w:bidi="ar-SA"/>
        </w:rPr>
        <w:t>第二十一条</w:t>
      </w:r>
      <w:r>
        <w:rPr>
          <w:rFonts w:hint="default" w:ascii="Times New Roman" w:hAnsi="Times New Roman" w:eastAsia="仿宋_GB2312" w:cs="Times New Roman"/>
          <w:b w:val="0"/>
          <w:bCs/>
          <w:i w:val="0"/>
          <w:color w:val="000000"/>
          <w:kern w:val="2"/>
          <w:sz w:val="32"/>
          <w:szCs w:val="32"/>
          <w:highlight w:val="none"/>
          <w:lang w:val="en-US" w:eastAsia="zh-CN" w:bidi="ar-SA"/>
        </w:rPr>
        <w:t>　</w:t>
      </w:r>
      <w:r>
        <w:rPr>
          <w:rFonts w:hint="default" w:ascii="Times New Roman" w:hAnsi="Times New Roman" w:eastAsia="仿宋_GB2312" w:cs="Times New Roman"/>
          <w:sz w:val="32"/>
          <w:szCs w:val="32"/>
        </w:rPr>
        <w:t>清洁作业区的入口处应当设置与员工数量相适应的专用更衣室和洗手、干手及消毒设施、换鞋（穿戴鞋套）消毒设施。专用更衣室的空气洁净度应当达到清洁作业区的要求，不同洁净区两边的门应当防止同时被开启。</w:t>
      </w:r>
    </w:p>
    <w:p w14:paraId="2F4EB6AA">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i w:val="0"/>
          <w:color w:val="000000"/>
          <w:kern w:val="2"/>
          <w:sz w:val="32"/>
          <w:szCs w:val="32"/>
          <w:highlight w:val="none"/>
          <w:lang w:val="en-US" w:eastAsia="zh-CN" w:bidi="ar-SA"/>
        </w:rPr>
        <w:t>第二十二条</w:t>
      </w:r>
      <w:r>
        <w:rPr>
          <w:rFonts w:hint="default" w:ascii="Times New Roman" w:hAnsi="Times New Roman" w:eastAsia="仿宋_GB2312" w:cs="Times New Roman"/>
          <w:b w:val="0"/>
          <w:bCs/>
          <w:i w:val="0"/>
          <w:color w:val="000000"/>
          <w:kern w:val="2"/>
          <w:sz w:val="32"/>
          <w:szCs w:val="32"/>
          <w:highlight w:val="none"/>
          <w:lang w:val="en-US" w:eastAsia="zh-CN" w:bidi="ar-SA"/>
        </w:rPr>
        <w:t>　</w:t>
      </w:r>
      <w:r>
        <w:rPr>
          <w:rFonts w:hint="default" w:ascii="Times New Roman" w:hAnsi="Times New Roman" w:eastAsia="仿宋_GB2312" w:cs="Times New Roman"/>
          <w:sz w:val="32"/>
          <w:szCs w:val="32"/>
        </w:rPr>
        <w:t>企业应具备满足原料检验、过程控制、成品检验所需的检验设备、设施和试剂。如：水分测定仪、罗维朋比色计、气相色谱仪、密度计、分析天平（0.1mg）、分析天平（0.01mg）等。</w:t>
      </w:r>
    </w:p>
    <w:p w14:paraId="258445EE">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i w:val="0"/>
          <w:color w:val="000000"/>
          <w:kern w:val="2"/>
          <w:sz w:val="32"/>
          <w:szCs w:val="32"/>
          <w:highlight w:val="none"/>
          <w:lang w:val="en-US" w:eastAsia="zh-CN" w:bidi="ar-SA"/>
        </w:rPr>
        <w:t>第二十三条</w:t>
      </w:r>
      <w:r>
        <w:rPr>
          <w:rFonts w:hint="default" w:ascii="Times New Roman" w:hAnsi="Times New Roman" w:eastAsia="仿宋_GB2312" w:cs="Times New Roman"/>
          <w:b w:val="0"/>
          <w:bCs/>
          <w:i w:val="0"/>
          <w:color w:val="000000"/>
          <w:kern w:val="2"/>
          <w:sz w:val="32"/>
          <w:szCs w:val="32"/>
          <w:highlight w:val="none"/>
          <w:lang w:val="en-US" w:eastAsia="zh-CN" w:bidi="ar-SA"/>
        </w:rPr>
        <w:t>　</w:t>
      </w:r>
      <w:r>
        <w:rPr>
          <w:rFonts w:hint="default" w:ascii="Times New Roman" w:hAnsi="Times New Roman" w:eastAsia="仿宋_GB2312" w:cs="Times New Roman"/>
          <w:sz w:val="32"/>
          <w:szCs w:val="32"/>
        </w:rPr>
        <w:t>检验设备的数量应与企业生产能力相适应，精度应满足检验需要。检验仪器设备和检验用计量器具应按照相关规定定期进行检定或校准。</w:t>
      </w:r>
    </w:p>
    <w:p w14:paraId="0E72229F">
      <w:pPr>
        <w:keepNext w:val="0"/>
        <w:keepLines w:val="0"/>
        <w:pageBreakBefore w:val="0"/>
        <w:widowControl w:val="0"/>
        <w:kinsoku/>
        <w:wordWrap/>
        <w:overflowPunct/>
        <w:topLinePunct w:val="0"/>
        <w:autoSpaceDE/>
        <w:autoSpaceDN/>
        <w:bidi w:val="0"/>
        <w:spacing w:line="560" w:lineRule="exact"/>
        <w:jc w:val="center"/>
        <w:textAlignment w:val="auto"/>
        <w:rPr>
          <w:rFonts w:hint="default" w:ascii="黑体" w:hAnsi="黑体" w:eastAsia="黑体" w:cs="黑体"/>
          <w:bCs/>
          <w:color w:val="000000"/>
          <w:sz w:val="32"/>
          <w:szCs w:val="32"/>
        </w:rPr>
      </w:pPr>
      <w:r>
        <w:rPr>
          <w:rFonts w:hint="default" w:ascii="黑体" w:hAnsi="黑体" w:eastAsia="黑体" w:cs="黑体"/>
          <w:bCs/>
          <w:color w:val="000000"/>
          <w:sz w:val="32"/>
          <w:szCs w:val="32"/>
        </w:rPr>
        <w:t>第四章  设备布局和工艺流程</w:t>
      </w:r>
    </w:p>
    <w:p w14:paraId="4B0AED92">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i w:val="0"/>
          <w:color w:val="000000"/>
          <w:kern w:val="2"/>
          <w:sz w:val="32"/>
          <w:szCs w:val="32"/>
          <w:highlight w:val="none"/>
          <w:lang w:val="en-US" w:eastAsia="zh-CN" w:bidi="ar-SA"/>
        </w:rPr>
        <w:t>第二十四条</w:t>
      </w:r>
      <w:r>
        <w:rPr>
          <w:rFonts w:hint="default" w:ascii="Times New Roman" w:hAnsi="Times New Roman" w:eastAsia="仿宋_GB2312" w:cs="Times New Roman"/>
          <w:b w:val="0"/>
          <w:bCs/>
          <w:i w:val="0"/>
          <w:color w:val="000000"/>
          <w:kern w:val="2"/>
          <w:sz w:val="32"/>
          <w:szCs w:val="32"/>
          <w:highlight w:val="none"/>
          <w:lang w:val="en-US" w:eastAsia="zh-CN" w:bidi="ar-SA"/>
        </w:rPr>
        <w:t>　</w:t>
      </w:r>
      <w:r>
        <w:rPr>
          <w:rFonts w:hint="default" w:ascii="Times New Roman" w:hAnsi="Times New Roman" w:eastAsia="仿宋_GB2312" w:cs="Times New Roman"/>
          <w:sz w:val="32"/>
          <w:szCs w:val="32"/>
        </w:rPr>
        <w:t>企业应当具备合理的生产设备布局和工艺流程，避免交叉污染。</w:t>
      </w:r>
    </w:p>
    <w:p w14:paraId="2E350BE4">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i w:val="0"/>
          <w:color w:val="000000"/>
          <w:kern w:val="2"/>
          <w:sz w:val="32"/>
          <w:szCs w:val="32"/>
          <w:highlight w:val="none"/>
          <w:lang w:val="en-US" w:eastAsia="zh-CN" w:bidi="ar-SA"/>
        </w:rPr>
        <w:t>第二十五条</w:t>
      </w:r>
      <w:r>
        <w:rPr>
          <w:rFonts w:hint="default" w:ascii="Times New Roman" w:hAnsi="Times New Roman" w:eastAsia="仿宋_GB2312" w:cs="Times New Roman"/>
          <w:b w:val="0"/>
          <w:bCs/>
          <w:i w:val="0"/>
          <w:color w:val="000000"/>
          <w:kern w:val="2"/>
          <w:sz w:val="32"/>
          <w:szCs w:val="32"/>
          <w:highlight w:val="none"/>
          <w:lang w:val="en-US" w:eastAsia="zh-CN" w:bidi="ar-SA"/>
        </w:rPr>
        <w:t>　</w:t>
      </w:r>
      <w:r>
        <w:rPr>
          <w:rFonts w:hint="default" w:ascii="Times New Roman" w:hAnsi="Times New Roman" w:eastAsia="仿宋_GB2312" w:cs="Times New Roman"/>
          <w:sz w:val="32"/>
          <w:szCs w:val="32"/>
        </w:rPr>
        <w:t>企业应当严格按照食品安全国家标准、国务院卫生行政部门（现国家卫生健康委员会）公告规定的原料、工艺要求组织生产中链甘油三酯。</w:t>
      </w:r>
    </w:p>
    <w:p w14:paraId="05992ACF">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i w:val="0"/>
          <w:color w:val="000000"/>
          <w:kern w:val="2"/>
          <w:sz w:val="32"/>
          <w:szCs w:val="32"/>
          <w:highlight w:val="none"/>
          <w:lang w:val="en-US" w:eastAsia="zh-CN" w:bidi="ar-SA"/>
        </w:rPr>
        <w:t>第二十六条</w:t>
      </w:r>
      <w:r>
        <w:rPr>
          <w:rFonts w:hint="default" w:ascii="Times New Roman" w:hAnsi="Times New Roman" w:eastAsia="仿宋_GB2312" w:cs="Times New Roman"/>
          <w:b w:val="0"/>
          <w:bCs/>
          <w:i w:val="0"/>
          <w:color w:val="000000"/>
          <w:kern w:val="2"/>
          <w:sz w:val="32"/>
          <w:szCs w:val="32"/>
          <w:highlight w:val="none"/>
          <w:lang w:val="en-US" w:eastAsia="zh-CN" w:bidi="ar-SA"/>
        </w:rPr>
        <w:t>　</w:t>
      </w:r>
      <w:r>
        <w:rPr>
          <w:rFonts w:hint="default" w:ascii="Times New Roman" w:hAnsi="Times New Roman" w:eastAsia="仿宋_GB2312" w:cs="Times New Roman"/>
          <w:sz w:val="32"/>
          <w:szCs w:val="32"/>
        </w:rPr>
        <w:t>企业应当根据产品特性、质量要求、风险控制等因素，确定关键控制环节。中链甘油三酯的具体工艺流程及关键控制环节见表1。</w:t>
      </w:r>
    </w:p>
    <w:p w14:paraId="22CFF78E">
      <w:pPr>
        <w:keepNext w:val="0"/>
        <w:keepLines w:val="0"/>
        <w:pageBreakBefore w:val="0"/>
        <w:widowControl w:val="0"/>
        <w:kinsoku/>
        <w:wordWrap/>
        <w:overflowPunct/>
        <w:topLinePunct w:val="0"/>
        <w:autoSpaceDE/>
        <w:autoSpaceDN/>
        <w:bidi w:val="0"/>
        <w:spacing w:line="560" w:lineRule="exact"/>
        <w:jc w:val="center"/>
        <w:textAlignment w:val="auto"/>
        <w:rPr>
          <w:rFonts w:hint="default" w:ascii="Times New Roman" w:hAnsi="Times New Roman" w:eastAsia="仿宋_GB2312" w:cs="Times New Roman"/>
          <w:color w:val="FF0000"/>
          <w:sz w:val="32"/>
          <w:szCs w:val="32"/>
        </w:rPr>
      </w:pPr>
      <w:r>
        <w:rPr>
          <w:rFonts w:hint="default" w:ascii="Times New Roman" w:hAnsi="Times New Roman" w:eastAsia="仿宋_GB2312" w:cs="Times New Roman"/>
          <w:sz w:val="32"/>
          <w:szCs w:val="32"/>
        </w:rPr>
        <w:t>表1 中链甘油三酯生产工艺流程及关键控制环节</w:t>
      </w:r>
    </w:p>
    <w:tbl>
      <w:tblPr>
        <w:tblStyle w:val="14"/>
        <w:tblW w:w="8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3043"/>
        <w:gridCol w:w="5444"/>
      </w:tblGrid>
      <w:tr w14:paraId="661C7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3043" w:type="dxa"/>
            <w:tcMar>
              <w:top w:w="0" w:type="dxa"/>
              <w:left w:w="0" w:type="dxa"/>
              <w:bottom w:w="0" w:type="dxa"/>
              <w:right w:w="0" w:type="dxa"/>
            </w:tcMar>
            <w:vAlign w:val="center"/>
          </w:tcPr>
          <w:p w14:paraId="7D762FE0">
            <w:pPr>
              <w:keepNext w:val="0"/>
              <w:keepLines w:val="0"/>
              <w:pageBreakBefore w:val="0"/>
              <w:widowControl w:val="0"/>
              <w:kinsoku/>
              <w:wordWrap/>
              <w:overflowPunct/>
              <w:topLinePunct w:val="0"/>
              <w:autoSpaceDE/>
              <w:autoSpaceDN/>
              <w:bidi w:val="0"/>
              <w:spacing w:line="560" w:lineRule="exact"/>
              <w:jc w:val="center"/>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工艺流程</w:t>
            </w:r>
          </w:p>
        </w:tc>
        <w:tc>
          <w:tcPr>
            <w:tcW w:w="5444" w:type="dxa"/>
            <w:tcMar>
              <w:top w:w="0" w:type="dxa"/>
              <w:left w:w="0" w:type="dxa"/>
              <w:bottom w:w="0" w:type="dxa"/>
              <w:right w:w="0" w:type="dxa"/>
            </w:tcMar>
            <w:vAlign w:val="center"/>
          </w:tcPr>
          <w:p w14:paraId="554EFB82">
            <w:pPr>
              <w:keepNext w:val="0"/>
              <w:keepLines w:val="0"/>
              <w:pageBreakBefore w:val="0"/>
              <w:widowControl w:val="0"/>
              <w:kinsoku/>
              <w:wordWrap/>
              <w:overflowPunct/>
              <w:topLinePunct w:val="0"/>
              <w:autoSpaceDE/>
              <w:autoSpaceDN/>
              <w:bidi w:val="0"/>
              <w:spacing w:line="560" w:lineRule="exact"/>
              <w:jc w:val="center"/>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关键控制环节</w:t>
            </w:r>
          </w:p>
        </w:tc>
      </w:tr>
      <w:tr w14:paraId="44BBE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664" w:hRule="atLeast"/>
          <w:jc w:val="center"/>
        </w:trPr>
        <w:tc>
          <w:tcPr>
            <w:tcW w:w="3043" w:type="dxa"/>
            <w:tcMar>
              <w:top w:w="0" w:type="dxa"/>
              <w:left w:w="0" w:type="dxa"/>
              <w:bottom w:w="0" w:type="dxa"/>
              <w:right w:w="0" w:type="dxa"/>
            </w:tcMar>
            <w:vAlign w:val="center"/>
          </w:tcPr>
          <w:p w14:paraId="333C7885">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原料验收→原料储存→水解→分馏→过滤→储罐→反应（酯化、脱酸）→后处理（脱色）→压滤→汽提→过滤→灌装→成品</w:t>
            </w:r>
          </w:p>
        </w:tc>
        <w:tc>
          <w:tcPr>
            <w:tcW w:w="5444" w:type="dxa"/>
            <w:tcMar>
              <w:top w:w="0" w:type="dxa"/>
              <w:left w:w="0" w:type="dxa"/>
              <w:bottom w:w="0" w:type="dxa"/>
              <w:right w:w="0" w:type="dxa"/>
            </w:tcMar>
            <w:vAlign w:val="center"/>
          </w:tcPr>
          <w:p w14:paraId="4B57D337">
            <w:pPr>
              <w:pStyle w:val="33"/>
              <w:keepNext w:val="0"/>
              <w:keepLines w:val="0"/>
              <w:pageBreakBefore w:val="0"/>
              <w:widowControl w:val="0"/>
              <w:numPr>
                <w:ilvl w:val="0"/>
                <w:numId w:val="3"/>
              </w:numPr>
              <w:kinsoku/>
              <w:wordWrap/>
              <w:overflowPunct/>
              <w:topLinePunct w:val="0"/>
              <w:autoSpaceDE/>
              <w:autoSpaceDN/>
              <w:bidi w:val="0"/>
              <w:adjustRightInd w:val="0"/>
              <w:snapToGrid w:val="0"/>
              <w:spacing w:line="560" w:lineRule="exact"/>
              <w:ind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原料的质量安全控制；</w:t>
            </w:r>
          </w:p>
          <w:p w14:paraId="655DBBC5">
            <w:pPr>
              <w:pStyle w:val="33"/>
              <w:keepNext w:val="0"/>
              <w:keepLines w:val="0"/>
              <w:pageBreakBefore w:val="0"/>
              <w:widowControl w:val="0"/>
              <w:numPr>
                <w:ilvl w:val="0"/>
                <w:numId w:val="3"/>
              </w:numPr>
              <w:kinsoku/>
              <w:wordWrap/>
              <w:overflowPunct/>
              <w:topLinePunct w:val="0"/>
              <w:autoSpaceDE/>
              <w:autoSpaceDN/>
              <w:bidi w:val="0"/>
              <w:adjustRightInd w:val="0"/>
              <w:snapToGrid w:val="0"/>
              <w:spacing w:line="560" w:lineRule="exact"/>
              <w:ind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水解方式及相关参数控制；</w:t>
            </w:r>
          </w:p>
          <w:p w14:paraId="76EA6BF1">
            <w:pPr>
              <w:keepNext w:val="0"/>
              <w:keepLines w:val="0"/>
              <w:pageBreakBefore w:val="0"/>
              <w:widowControl w:val="0"/>
              <w:numPr>
                <w:ilvl w:val="0"/>
                <w:numId w:val="3"/>
              </w:numPr>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酯化、脱酸工艺相关参数控制</w:t>
            </w:r>
          </w:p>
          <w:p w14:paraId="025B0CA3">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4.后处理（脱色）方式及相关参数控制；</w:t>
            </w:r>
          </w:p>
          <w:p w14:paraId="3E34A06B">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5.汽提方式及相关参数控制；</w:t>
            </w:r>
          </w:p>
          <w:p w14:paraId="4A5CFA14">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6.生产过程中的异物控制（过滤）。</w:t>
            </w:r>
          </w:p>
        </w:tc>
      </w:tr>
    </w:tbl>
    <w:p w14:paraId="788C0F09">
      <w:pPr>
        <w:keepNext w:val="0"/>
        <w:keepLines w:val="0"/>
        <w:pageBreakBefore w:val="0"/>
        <w:widowControl w:val="0"/>
        <w:kinsoku/>
        <w:wordWrap/>
        <w:overflowPunct/>
        <w:topLinePunct w:val="0"/>
        <w:autoSpaceDE/>
        <w:autoSpaceDN/>
        <w:bidi w:val="0"/>
        <w:spacing w:line="560" w:lineRule="exact"/>
        <w:jc w:val="center"/>
        <w:textAlignment w:val="auto"/>
        <w:rPr>
          <w:rFonts w:hint="default" w:ascii="黑体" w:hAnsi="黑体" w:eastAsia="黑体" w:cs="黑体"/>
          <w:bCs/>
          <w:color w:val="000000"/>
          <w:sz w:val="32"/>
          <w:szCs w:val="32"/>
        </w:rPr>
      </w:pPr>
      <w:r>
        <w:rPr>
          <w:rFonts w:hint="default" w:ascii="黑体" w:hAnsi="黑体" w:eastAsia="黑体" w:cs="黑体"/>
          <w:bCs/>
          <w:color w:val="000000"/>
          <w:sz w:val="32"/>
          <w:szCs w:val="32"/>
        </w:rPr>
        <w:t>第五章  人员管理</w:t>
      </w:r>
    </w:p>
    <w:p w14:paraId="09AB6386">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i w:val="0"/>
          <w:color w:val="000000"/>
          <w:kern w:val="2"/>
          <w:sz w:val="32"/>
          <w:szCs w:val="32"/>
          <w:highlight w:val="none"/>
          <w:lang w:val="en-US" w:eastAsia="zh-CN" w:bidi="ar-SA"/>
        </w:rPr>
        <w:t>第二十七条</w:t>
      </w:r>
      <w:r>
        <w:rPr>
          <w:rFonts w:hint="default" w:ascii="Times New Roman" w:hAnsi="Times New Roman" w:eastAsia="仿宋_GB2312" w:cs="Times New Roman"/>
          <w:b w:val="0"/>
          <w:bCs/>
          <w:i w:val="0"/>
          <w:color w:val="000000"/>
          <w:kern w:val="2"/>
          <w:sz w:val="32"/>
          <w:szCs w:val="32"/>
          <w:highlight w:val="none"/>
          <w:lang w:val="en-US" w:eastAsia="zh-CN" w:bidi="ar-SA"/>
        </w:rPr>
        <w:t>　</w:t>
      </w:r>
      <w:r>
        <w:rPr>
          <w:rFonts w:hint="default" w:ascii="Times New Roman" w:hAnsi="Times New Roman" w:eastAsia="仿宋_GB2312" w:cs="Times New Roman"/>
          <w:sz w:val="32"/>
          <w:szCs w:val="32"/>
        </w:rPr>
        <w:t>企业应当依法配备食品安全管理人员和食品安全专业技术人员。企业主要负责人、食品安全总监、食品安全员应当符合《食品生产经营企业落实食品安全主体责任监督管理规定》（国家市场监督管理总局令第97号），及《江苏省食品生产企业落实食品安全主体责任规定（试行）》（苏市监规〔2020〕9号）的要求。食品安全管理人员应当掌握食品安全法律法规、相关标准及生产加工专业知识，具备食品安全管理能力。食品安全专业技术人员应当掌握生产工艺操作规程，能够熟练操作与岗位相关的设备设施。检验人员应当具有食品、化学或相关专业知识，经专业培训合格后方可上岗。检验人员数量应当与企业生产能力及检验工作量相适应。操作人员应当掌握本职岗位的操作规程相关要求，能够熟练操作本岗位设备。负责清洁消毒的人员应当接受良好培训，能够正确使用清洁消毒工器具及相关洗涤剂、消毒剂，保证清洁和消毒作业效果满足生产要求。</w:t>
      </w:r>
    </w:p>
    <w:p w14:paraId="1C2E6E80">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i w:val="0"/>
          <w:color w:val="000000"/>
          <w:kern w:val="2"/>
          <w:sz w:val="32"/>
          <w:szCs w:val="32"/>
          <w:highlight w:val="none"/>
          <w:lang w:val="en-US" w:eastAsia="zh-CN" w:bidi="ar-SA"/>
        </w:rPr>
        <w:t>第二十八条</w:t>
      </w:r>
      <w:r>
        <w:rPr>
          <w:rFonts w:hint="default" w:ascii="Times New Roman" w:hAnsi="Times New Roman" w:eastAsia="仿宋_GB2312" w:cs="Times New Roman"/>
          <w:b w:val="0"/>
          <w:bCs/>
          <w:i w:val="0"/>
          <w:color w:val="000000"/>
          <w:kern w:val="2"/>
          <w:sz w:val="32"/>
          <w:szCs w:val="32"/>
          <w:highlight w:val="none"/>
          <w:lang w:val="en-US" w:eastAsia="zh-CN" w:bidi="ar-SA"/>
        </w:rPr>
        <w:t>　</w:t>
      </w:r>
      <w:r>
        <w:rPr>
          <w:rFonts w:hint="default" w:ascii="Times New Roman" w:hAnsi="Times New Roman" w:eastAsia="仿宋_GB2312" w:cs="Times New Roman"/>
          <w:sz w:val="32"/>
          <w:szCs w:val="32"/>
        </w:rPr>
        <w:t>企业应当建立培训制度，制定培训计划，培训的内容应当与岗位相适应。与质量安全相关岗位的人员应当定期培训和考核，不具备能力的不得上岗。</w:t>
      </w:r>
    </w:p>
    <w:p w14:paraId="0A156DF5">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i w:val="0"/>
          <w:color w:val="000000"/>
          <w:kern w:val="2"/>
          <w:sz w:val="32"/>
          <w:szCs w:val="32"/>
          <w:highlight w:val="none"/>
          <w:lang w:val="en-US" w:eastAsia="zh-CN" w:bidi="ar-SA"/>
        </w:rPr>
        <w:t>第二十九条</w:t>
      </w:r>
      <w:r>
        <w:rPr>
          <w:rFonts w:hint="default" w:ascii="Times New Roman" w:hAnsi="Times New Roman" w:eastAsia="仿宋_GB2312" w:cs="Times New Roman"/>
          <w:b w:val="0"/>
          <w:bCs/>
          <w:i w:val="0"/>
          <w:color w:val="000000"/>
          <w:kern w:val="2"/>
          <w:sz w:val="32"/>
          <w:szCs w:val="32"/>
          <w:highlight w:val="none"/>
          <w:lang w:val="en-US" w:eastAsia="zh-CN" w:bidi="ar-SA"/>
        </w:rPr>
        <w:t>　</w:t>
      </w:r>
      <w:r>
        <w:rPr>
          <w:rFonts w:hint="default" w:ascii="Times New Roman" w:hAnsi="Times New Roman" w:eastAsia="仿宋_GB2312" w:cs="Times New Roman"/>
          <w:sz w:val="32"/>
          <w:szCs w:val="32"/>
        </w:rPr>
        <w:t>企业应建立人员健康管理制度，从事接触直接入口食品工作的食品生产人员应当每年进行健康检查，取得健康证明后方可上岗工作。食品生产人员每天上岗前应检查健康状况，并形成记录，防止患有法律法规规定的有碍食品安全疾病的人员接触直接入口食品。</w:t>
      </w:r>
    </w:p>
    <w:p w14:paraId="09D5E2C8">
      <w:pPr>
        <w:keepNext w:val="0"/>
        <w:keepLines w:val="0"/>
        <w:pageBreakBefore w:val="0"/>
        <w:widowControl w:val="0"/>
        <w:kinsoku/>
        <w:wordWrap/>
        <w:overflowPunct/>
        <w:topLinePunct w:val="0"/>
        <w:autoSpaceDE/>
        <w:autoSpaceDN/>
        <w:bidi w:val="0"/>
        <w:spacing w:line="560" w:lineRule="exact"/>
        <w:jc w:val="center"/>
        <w:textAlignment w:val="auto"/>
        <w:rPr>
          <w:rFonts w:hint="default" w:ascii="黑体" w:hAnsi="黑体" w:eastAsia="黑体" w:cs="黑体"/>
          <w:bCs/>
          <w:color w:val="000000"/>
          <w:sz w:val="32"/>
          <w:szCs w:val="32"/>
        </w:rPr>
      </w:pPr>
      <w:r>
        <w:rPr>
          <w:rFonts w:hint="default" w:ascii="黑体" w:hAnsi="黑体" w:eastAsia="黑体" w:cs="黑体"/>
          <w:bCs/>
          <w:color w:val="000000"/>
          <w:sz w:val="32"/>
          <w:szCs w:val="32"/>
        </w:rPr>
        <w:t>第六章  管理制度</w:t>
      </w:r>
    </w:p>
    <w:p w14:paraId="37D690BD">
      <w:pPr>
        <w:pStyle w:val="7"/>
        <w:keepNext w:val="0"/>
        <w:keepLines w:val="0"/>
        <w:pageBreakBefore w:val="0"/>
        <w:widowControl w:val="0"/>
        <w:numPr>
          <w:ilvl w:val="0"/>
          <w:numId w:val="0"/>
        </w:numPr>
        <w:kinsoku/>
        <w:wordWrap/>
        <w:overflowPunct/>
        <w:topLinePunct w:val="0"/>
        <w:autoSpaceDE/>
        <w:autoSpaceDN/>
        <w:bidi w:val="0"/>
        <w:spacing w:after="0"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i w:val="0"/>
          <w:color w:val="000000"/>
          <w:kern w:val="2"/>
          <w:sz w:val="32"/>
          <w:szCs w:val="32"/>
          <w:highlight w:val="none"/>
          <w:lang w:val="en-US" w:eastAsia="zh-CN" w:bidi="ar-SA"/>
        </w:rPr>
        <w:t>第三十条</w:t>
      </w:r>
      <w:r>
        <w:rPr>
          <w:rFonts w:hint="default" w:ascii="Times New Roman" w:hAnsi="Times New Roman" w:eastAsia="仿宋_GB2312" w:cs="Times New Roman"/>
          <w:b w:val="0"/>
          <w:bCs/>
          <w:i w:val="0"/>
          <w:color w:val="000000"/>
          <w:kern w:val="2"/>
          <w:sz w:val="32"/>
          <w:szCs w:val="32"/>
          <w:highlight w:val="none"/>
          <w:lang w:val="en-US" w:eastAsia="zh-CN" w:bidi="ar-SA"/>
        </w:rPr>
        <w:t>　</w:t>
      </w:r>
      <w:r>
        <w:rPr>
          <w:rFonts w:hint="default" w:ascii="Times New Roman" w:hAnsi="Times New Roman" w:eastAsia="仿宋_GB2312" w:cs="Times New Roman"/>
          <w:sz w:val="32"/>
          <w:szCs w:val="32"/>
        </w:rPr>
        <w:t>企业应当建立并执行原料、相关产品采购管理及进货查验记录制度。</w:t>
      </w:r>
    </w:p>
    <w:p w14:paraId="1A21E6A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（一）原料采购管理要求</w:t>
      </w:r>
    </w:p>
    <w:p w14:paraId="3AEAD1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（1）采购的原料、相关产品应当符合国家法律法规、相应食品安全标准、国务院卫生行政部门规定。</w:t>
      </w:r>
    </w:p>
    <w:p w14:paraId="77C0A4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（2）采购进口原料的，应当经出入境检验检疫机构依照进出口商品相关法律法规的规定检验合格。应当按照国家出入境检验检疫部门的要求随附合格证明材料。并符合相关国家食品安全标准要求。</w:t>
      </w:r>
    </w:p>
    <w:p w14:paraId="6B71DD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（3）对无法提供合格证明的原料，应当按照相应的标准自行检验或委托具备相应检验资质的检验机构进行检验。</w:t>
      </w:r>
    </w:p>
    <w:p w14:paraId="31579B1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（二）原料、相关产品验收及登记要求</w:t>
      </w:r>
    </w:p>
    <w:p w14:paraId="39910D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（1）应当制定原料、相关产品验收标准，根据原料、相关产品特性、风险因素等确定各类原料和相关产品具体验收项目和验收要求。</w:t>
      </w:r>
    </w:p>
    <w:p w14:paraId="20950CE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（2）应当对采购原料、相关产品逐批登记验收，详细记录供应商及原料、相关产品信息，保证原料、相关产品来源可追溯。</w:t>
      </w:r>
    </w:p>
    <w:p w14:paraId="6708A7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（3）以棕榈仁油/椰子油原料来源的中间体或半成品为原料生产中链甘油三酯，应当建立供应商审核制度，确保所采购的中间体或半成品符合食品安全国家标准。</w:t>
      </w:r>
    </w:p>
    <w:p w14:paraId="09BBA58E">
      <w:pPr>
        <w:pStyle w:val="7"/>
        <w:keepNext w:val="0"/>
        <w:keepLines w:val="0"/>
        <w:pageBreakBefore w:val="0"/>
        <w:widowControl w:val="0"/>
        <w:kinsoku/>
        <w:wordWrap/>
        <w:overflowPunct/>
        <w:topLinePunct w:val="0"/>
        <w:autoSpaceDE/>
        <w:autoSpaceDN/>
        <w:bidi w:val="0"/>
        <w:adjustRightInd/>
        <w:snapToGrid/>
        <w:spacing w:after="0" w:line="560" w:lineRule="exact"/>
        <w:ind w:left="-177"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中间体辛酸、癸酸及其混合物应为植物油（棕榈仁油/椰子油）来源，不得使用石油化工来源的原料酸，进货验收时确认符合《合格供方名录》（见附件），并取样检测质量符合进货验收标准。相关原料验收标准见附件。</w:t>
      </w:r>
    </w:p>
    <w:p w14:paraId="230C8A92">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i w:val="0"/>
          <w:color w:val="000000"/>
          <w:kern w:val="2"/>
          <w:sz w:val="32"/>
          <w:szCs w:val="32"/>
          <w:highlight w:val="none"/>
          <w:lang w:val="en-US" w:eastAsia="zh-CN" w:bidi="ar-SA"/>
        </w:rPr>
        <w:t>第三十一条</w:t>
      </w:r>
      <w:r>
        <w:rPr>
          <w:rFonts w:hint="default" w:ascii="Times New Roman" w:hAnsi="Times New Roman" w:eastAsia="仿宋_GB2312" w:cs="Times New Roman"/>
          <w:b w:val="0"/>
          <w:bCs/>
          <w:i w:val="0"/>
          <w:color w:val="000000"/>
          <w:kern w:val="2"/>
          <w:sz w:val="32"/>
          <w:szCs w:val="32"/>
          <w:highlight w:val="none"/>
          <w:lang w:val="en-US" w:eastAsia="zh-CN" w:bidi="ar-SA"/>
        </w:rPr>
        <w:t>　</w:t>
      </w:r>
      <w:r>
        <w:rPr>
          <w:rFonts w:hint="default" w:ascii="Times New Roman" w:hAnsi="Times New Roman" w:eastAsia="仿宋_GB2312" w:cs="Times New Roman"/>
          <w:sz w:val="32"/>
          <w:szCs w:val="32"/>
        </w:rPr>
        <w:t>企业应当建立并执行生产过程控制管理制度，对生产全过程进行控制，确保生产工艺及产品质量符合食品安全国家标准、国务院卫生行政部门公告规定。</w:t>
      </w:r>
    </w:p>
    <w:p w14:paraId="78D4548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（一）原料领用、计量管理</w:t>
      </w:r>
    </w:p>
    <w:p w14:paraId="2F8ABD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（1）建立并执行原料、相关产品领用制度，保证领用（出库）品种、数量准确，记录及时完整。</w:t>
      </w:r>
    </w:p>
    <w:p w14:paraId="77666B1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（2）建立并执行原料投用数量记录制度，保证原料种类、数量与产品要求一致。</w:t>
      </w:r>
    </w:p>
    <w:p w14:paraId="6092B16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（二）生产工艺控制</w:t>
      </w:r>
    </w:p>
    <w:p w14:paraId="584BD5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建立并执行生产操作规程和控制制度，制定工艺文件，明确关键工艺技术参数控制和记录要求。应当根据产品生产工艺，明确包括岗位操作规程和过程产品质量安全控制要求，对过程产品的质量安全情况进行监控或检验。</w:t>
      </w:r>
    </w:p>
    <w:p w14:paraId="4D7267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（2）工艺路线应与企业制定的工艺文件要求一致。</w:t>
      </w:r>
    </w:p>
    <w:p w14:paraId="69670AA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（三）清场</w:t>
      </w:r>
    </w:p>
    <w:p w14:paraId="19AF49D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建立并执行清场制度，每批产品生产结束后应当按要求进行清场，并对清场情况进行验收，确保产品不受污染。同一生产线生产不同产品时，应当制定产品切换操作规程。切换后的首批产品应从严判定，确保产品切换不对下一批产品造成交叉污染。</w:t>
      </w:r>
    </w:p>
    <w:p w14:paraId="7EE5CF10">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i w:val="0"/>
          <w:color w:val="000000"/>
          <w:kern w:val="2"/>
          <w:sz w:val="32"/>
          <w:szCs w:val="32"/>
          <w:highlight w:val="none"/>
          <w:lang w:val="en-US" w:eastAsia="zh-CN" w:bidi="ar-SA"/>
        </w:rPr>
        <w:t>第三十二条</w:t>
      </w:r>
      <w:r>
        <w:rPr>
          <w:rFonts w:hint="default" w:ascii="Times New Roman" w:hAnsi="Times New Roman" w:eastAsia="仿宋_GB2312" w:cs="Times New Roman"/>
          <w:b w:val="0"/>
          <w:bCs/>
          <w:i w:val="0"/>
          <w:color w:val="000000"/>
          <w:kern w:val="2"/>
          <w:sz w:val="32"/>
          <w:szCs w:val="32"/>
          <w:highlight w:val="none"/>
          <w:lang w:val="en-US" w:eastAsia="zh-CN" w:bidi="ar-SA"/>
        </w:rPr>
        <w:t>　</w:t>
      </w:r>
      <w:r>
        <w:rPr>
          <w:rFonts w:hint="default" w:ascii="Times New Roman" w:hAnsi="Times New Roman" w:eastAsia="仿宋_GB2312" w:cs="Times New Roman"/>
          <w:sz w:val="32"/>
          <w:szCs w:val="32"/>
        </w:rPr>
        <w:t>企业应建立并实施覆盖生产全过程的物料平衡管理制度。企业生产过程应当明确原辅料的投料量和相关信息（如原料规格型号、生产领用时间等）、过程记录的具体要求，确保原辅料记录真实、准确、可追溯。</w:t>
      </w:r>
    </w:p>
    <w:p w14:paraId="5145A5E7">
      <w:pPr>
        <w:pStyle w:val="7"/>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企业应当每日记录储油罐中的油脂存量和相关信息，并保存相关记录不少于产品保质期满后六个月。</w:t>
      </w:r>
    </w:p>
    <w:p w14:paraId="77FA69F4">
      <w:pPr>
        <w:pStyle w:val="7"/>
        <w:keepNext w:val="0"/>
        <w:keepLines w:val="0"/>
        <w:pageBreakBefore w:val="0"/>
        <w:widowControl w:val="0"/>
        <w:kinsoku/>
        <w:wordWrap/>
        <w:overflowPunct/>
        <w:topLinePunct w:val="0"/>
        <w:autoSpaceDE/>
        <w:autoSpaceDN/>
        <w:bidi w:val="0"/>
        <w:adjustRightInd/>
        <w:snapToGrid/>
        <w:spacing w:after="0" w:line="560" w:lineRule="exact"/>
        <w:ind w:left="-177"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流量计等计量器具的读数相关记录不少于产品保质期满后六个月。</w:t>
      </w:r>
    </w:p>
    <w:p w14:paraId="239530C3">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i w:val="0"/>
          <w:color w:val="000000"/>
          <w:kern w:val="2"/>
          <w:sz w:val="32"/>
          <w:szCs w:val="32"/>
          <w:highlight w:val="none"/>
          <w:lang w:val="en-US" w:eastAsia="zh-CN" w:bidi="ar-SA"/>
        </w:rPr>
        <w:t>第三十三条</w:t>
      </w:r>
      <w:r>
        <w:rPr>
          <w:rFonts w:hint="default" w:ascii="Times New Roman" w:hAnsi="Times New Roman" w:eastAsia="仿宋_GB2312" w:cs="Times New Roman"/>
          <w:b w:val="0"/>
          <w:bCs/>
          <w:i w:val="0"/>
          <w:color w:val="000000"/>
          <w:kern w:val="2"/>
          <w:sz w:val="32"/>
          <w:szCs w:val="32"/>
          <w:highlight w:val="none"/>
          <w:lang w:val="en-US" w:eastAsia="zh-CN" w:bidi="ar-SA"/>
        </w:rPr>
        <w:t>　</w:t>
      </w:r>
      <w:r>
        <w:rPr>
          <w:rFonts w:hint="default" w:ascii="Times New Roman" w:hAnsi="Times New Roman" w:eastAsia="仿宋_GB2312" w:cs="Times New Roman"/>
          <w:sz w:val="32"/>
          <w:szCs w:val="32"/>
        </w:rPr>
        <w:t>建立并执行检验管理及出厂检验记录制度。应包括原料检验、过程检验、出厂检验及产品留样的方式及要求，过程检验包括但不限于对半成品质量、安全指标的监测。按照产品执行的食品安全国家标准和执行标准的要求，对出厂成品进行逐批出厂检验。执行标准未规定出厂检验要求的，企业应综合考虑产品特性、工艺特点、生产过程控制等因素确定检验项目、检验频次、检验方法等要求。</w:t>
      </w:r>
    </w:p>
    <w:p w14:paraId="7DB60156">
      <w:pPr>
        <w:pStyle w:val="7"/>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产品出厂时，查验出厂产品的安全状况和检验合格证明，记录产品的名称、规格、数量、生产日期或者生产批号、保质期、检验合格证明编号、销售日期以及购货者名称、地址、联系方式等信息，保存相关记录和凭证不少于产品保质期满后六个月。</w:t>
      </w:r>
    </w:p>
    <w:p w14:paraId="14FA6EF2">
      <w:pPr>
        <w:pStyle w:val="7"/>
        <w:keepNext w:val="0"/>
        <w:keepLines w:val="0"/>
        <w:pageBreakBefore w:val="0"/>
        <w:widowControl w:val="0"/>
        <w:kinsoku/>
        <w:wordWrap/>
        <w:overflowPunct/>
        <w:topLinePunct w:val="0"/>
        <w:autoSpaceDE/>
        <w:autoSpaceDN/>
        <w:bidi w:val="0"/>
        <w:adjustRightInd/>
        <w:snapToGrid/>
        <w:spacing w:after="0" w:line="560" w:lineRule="exact"/>
        <w:ind w:left="-177"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自行检验。自行检验的企业应具备与所检项目适应的检验室和检验能力。使用快速检测方法的，应定期与国家标准规定的检验方法进行比对或验证，保证检测结果准确。当快速检测方法检测结果显示异常时，应使用国家标准规定的检验方法进行验证。</w:t>
      </w:r>
    </w:p>
    <w:p w14:paraId="6D08E507">
      <w:pPr>
        <w:pStyle w:val="7"/>
        <w:keepNext w:val="0"/>
        <w:keepLines w:val="0"/>
        <w:pageBreakBefore w:val="0"/>
        <w:widowControl w:val="0"/>
        <w:kinsoku/>
        <w:wordWrap/>
        <w:overflowPunct/>
        <w:topLinePunct w:val="0"/>
        <w:autoSpaceDE/>
        <w:autoSpaceDN/>
        <w:bidi w:val="0"/>
        <w:adjustRightInd/>
        <w:snapToGrid/>
        <w:spacing w:after="0" w:line="560" w:lineRule="exact"/>
        <w:ind w:left="-177"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（二）委托检验。可委托具备相应资质的第三方检测机构进行检验，并妥善保存委托协议和检验报告。</w:t>
      </w:r>
    </w:p>
    <w:p w14:paraId="59FBB975">
      <w:pPr>
        <w:pStyle w:val="7"/>
        <w:keepNext w:val="0"/>
        <w:keepLines w:val="0"/>
        <w:pageBreakBefore w:val="0"/>
        <w:widowControl w:val="0"/>
        <w:kinsoku/>
        <w:wordWrap/>
        <w:overflowPunct/>
        <w:topLinePunct w:val="0"/>
        <w:autoSpaceDE/>
        <w:autoSpaceDN/>
        <w:bidi w:val="0"/>
        <w:adjustRightInd/>
        <w:snapToGrid/>
        <w:spacing w:after="0" w:line="560" w:lineRule="exact"/>
        <w:ind w:left="-177"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产品留样。每批产品均应有留样，留样数量应满足复检要求。留样间应满足产品贮存条件要求，产品留样应保存至保质期满，对超过保质期的产品留样进行妥善处置，如实、完整记录产品留样及过期产品处置相关信息。</w:t>
      </w:r>
    </w:p>
    <w:p w14:paraId="04172809">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i w:val="0"/>
          <w:color w:val="000000"/>
          <w:kern w:val="2"/>
          <w:sz w:val="32"/>
          <w:szCs w:val="32"/>
          <w:highlight w:val="none"/>
          <w:lang w:val="en-US" w:eastAsia="zh-CN" w:bidi="ar-SA"/>
        </w:rPr>
        <w:t>第三十四条</w:t>
      </w:r>
      <w:r>
        <w:rPr>
          <w:rFonts w:hint="default" w:ascii="Times New Roman" w:hAnsi="Times New Roman" w:eastAsia="仿宋_GB2312" w:cs="Times New Roman"/>
          <w:b w:val="0"/>
          <w:bCs/>
          <w:i w:val="0"/>
          <w:color w:val="000000"/>
          <w:kern w:val="2"/>
          <w:sz w:val="32"/>
          <w:szCs w:val="32"/>
          <w:highlight w:val="none"/>
          <w:lang w:val="en-US" w:eastAsia="zh-CN" w:bidi="ar-SA"/>
        </w:rPr>
        <w:t>　</w:t>
      </w:r>
      <w:r>
        <w:rPr>
          <w:rFonts w:hint="default" w:ascii="Times New Roman" w:hAnsi="Times New Roman" w:eastAsia="仿宋_GB2312" w:cs="Times New Roman"/>
          <w:sz w:val="32"/>
          <w:szCs w:val="32"/>
        </w:rPr>
        <w:t>建立并执行运输和交付管理制度。企业应当根据食用油的产品特点和卫生要求规定运输、交付要求，采取相应的措施。运输预包装食用油应确保运输工具卫生清洁，不得与有毒、有害、有异味的物品混装混运。采用船舱、油罐、集装箱液袋、大容量油桶等容器盛装，通过公路、水路、铁路等方式运输食用植物油的应符合《食用植物油散装运输卫生要求》（GB 44917）的规定。</w:t>
      </w:r>
    </w:p>
    <w:p w14:paraId="07678E01">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食用油发货方需查验承运方准运证、容器安全性和铅封完整性，收货方需核验准运证、运输记录和铅封完整性，并保存相关记录和凭证不少于产品保质期。</w:t>
      </w:r>
    </w:p>
    <w:p w14:paraId="3A77F097">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i w:val="0"/>
          <w:color w:val="000000"/>
          <w:kern w:val="2"/>
          <w:sz w:val="32"/>
          <w:szCs w:val="32"/>
          <w:highlight w:val="none"/>
          <w:lang w:val="en-US" w:eastAsia="zh-CN" w:bidi="ar-SA"/>
        </w:rPr>
        <w:t>第三十五条</w:t>
      </w:r>
      <w:r>
        <w:rPr>
          <w:rFonts w:hint="default" w:ascii="Times New Roman" w:hAnsi="Times New Roman" w:eastAsia="仿宋_GB2312" w:cs="Times New Roman"/>
          <w:b w:val="0"/>
          <w:bCs/>
          <w:i w:val="0"/>
          <w:color w:val="000000"/>
          <w:kern w:val="2"/>
          <w:sz w:val="32"/>
          <w:szCs w:val="32"/>
          <w:highlight w:val="none"/>
          <w:lang w:val="en-US" w:eastAsia="zh-CN" w:bidi="ar-SA"/>
        </w:rPr>
        <w:t>　</w:t>
      </w:r>
      <w:r>
        <w:rPr>
          <w:rFonts w:hint="default" w:ascii="Times New Roman" w:hAnsi="Times New Roman" w:eastAsia="仿宋_GB2312" w:cs="Times New Roman"/>
          <w:sz w:val="32"/>
          <w:szCs w:val="32"/>
        </w:rPr>
        <w:t>企业应当建立并执行食品安全追溯制度。如实记录原料采购与验收、生产过程、产品检验、出厂销售等全过程信息，实现产品有效追溯。企业应当合理设定产品批次，建立批生产记录，如实记录投料的原料名称、投料数量、产品批号、投料日期等信息。</w:t>
      </w:r>
    </w:p>
    <w:p w14:paraId="529184BA">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i w:val="0"/>
          <w:color w:val="000000"/>
          <w:kern w:val="2"/>
          <w:sz w:val="32"/>
          <w:szCs w:val="32"/>
          <w:highlight w:val="none"/>
          <w:lang w:val="en-US" w:eastAsia="zh-CN" w:bidi="ar-SA"/>
        </w:rPr>
        <w:t>第三十六条</w:t>
      </w:r>
      <w:r>
        <w:rPr>
          <w:rFonts w:hint="default" w:ascii="Times New Roman" w:hAnsi="Times New Roman" w:eastAsia="仿宋_GB2312" w:cs="Times New Roman"/>
          <w:b w:val="0"/>
          <w:bCs/>
          <w:i w:val="0"/>
          <w:color w:val="000000"/>
          <w:kern w:val="2"/>
          <w:sz w:val="32"/>
          <w:szCs w:val="32"/>
          <w:highlight w:val="none"/>
          <w:lang w:val="en-US" w:eastAsia="zh-CN" w:bidi="ar-SA"/>
        </w:rPr>
        <w:t>　</w:t>
      </w:r>
      <w:r>
        <w:rPr>
          <w:rFonts w:hint="default" w:ascii="Times New Roman" w:hAnsi="Times New Roman" w:eastAsia="仿宋_GB2312" w:cs="Times New Roman"/>
          <w:sz w:val="32"/>
          <w:szCs w:val="32"/>
        </w:rPr>
        <w:t>企业应当建立并执行食品安全自查制度。对食品安全状况进行检查评价，并规定自查频次。自查内容应当包括：原料进货查验及记录情况、生产过程控制情况、设备设施维护保养情况、人员管理情况、检验管理情况、记录及文件管理情况等。</w:t>
      </w:r>
    </w:p>
    <w:p w14:paraId="22075C27">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i w:val="0"/>
          <w:color w:val="000000"/>
          <w:kern w:val="2"/>
          <w:sz w:val="32"/>
          <w:szCs w:val="32"/>
          <w:highlight w:val="none"/>
          <w:lang w:val="en-US" w:eastAsia="zh-CN" w:bidi="ar-SA"/>
        </w:rPr>
        <w:t>第三十七条</w:t>
      </w:r>
      <w:r>
        <w:rPr>
          <w:rFonts w:hint="default" w:ascii="Times New Roman" w:hAnsi="Times New Roman" w:eastAsia="仿宋_GB2312" w:cs="Times New Roman"/>
          <w:b w:val="0"/>
          <w:bCs/>
          <w:i w:val="0"/>
          <w:color w:val="000000"/>
          <w:kern w:val="2"/>
          <w:sz w:val="32"/>
          <w:szCs w:val="32"/>
          <w:highlight w:val="none"/>
          <w:lang w:val="en-US" w:eastAsia="zh-CN" w:bidi="ar-SA"/>
        </w:rPr>
        <w:t>　</w:t>
      </w:r>
      <w:r>
        <w:rPr>
          <w:rFonts w:hint="default" w:ascii="Times New Roman" w:hAnsi="Times New Roman" w:eastAsia="仿宋_GB2312" w:cs="Times New Roman"/>
          <w:sz w:val="32"/>
          <w:szCs w:val="32"/>
        </w:rPr>
        <w:t>企业应当建立并执行不合格品管理及不安全产品召回制度。应当明确对在验收和生产过程中发现的不合格原料、半成品和成品进行标识、贮存和处置措施，不合格品应当与合格品分开放置并明显标记，应当如实、完整记录不合格品保存和处理情况。企业应当对召回的产品采取补救、无害化处置、销毁等措施，如实记录召回和处置情况，并向所在地县级市场监管部门报告。</w:t>
      </w:r>
    </w:p>
    <w:p w14:paraId="6CC274A9">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i w:val="0"/>
          <w:color w:val="000000"/>
          <w:kern w:val="2"/>
          <w:sz w:val="32"/>
          <w:szCs w:val="32"/>
          <w:highlight w:val="none"/>
          <w:lang w:val="en-US" w:eastAsia="zh-CN" w:bidi="ar-SA"/>
        </w:rPr>
        <w:t>第三十八条</w:t>
      </w:r>
      <w:r>
        <w:rPr>
          <w:rFonts w:hint="default" w:ascii="Times New Roman" w:hAnsi="Times New Roman" w:eastAsia="仿宋_GB2312" w:cs="Times New Roman"/>
          <w:b w:val="0"/>
          <w:bCs/>
          <w:i w:val="0"/>
          <w:color w:val="000000"/>
          <w:kern w:val="2"/>
          <w:sz w:val="32"/>
          <w:szCs w:val="32"/>
          <w:highlight w:val="none"/>
          <w:lang w:val="en-US" w:eastAsia="zh-CN" w:bidi="ar-SA"/>
        </w:rPr>
        <w:t>　</w:t>
      </w:r>
      <w:r>
        <w:rPr>
          <w:rFonts w:hint="default" w:ascii="Times New Roman" w:hAnsi="Times New Roman" w:eastAsia="仿宋_GB2312" w:cs="Times New Roman"/>
          <w:sz w:val="32"/>
          <w:szCs w:val="32"/>
        </w:rPr>
        <w:t>企业应当建立并执行标签标识管理制度，产品标签标注的项目、内容等应当符合法律法规及《食品安全国家标准 预包装食品标签通则》（GB 7718）、《食品标识管理规定》（原国家质量监督检验检疫总局令第100号，根据第123号令修订）及国家卫生健康委员会相关公告等规定。</w:t>
      </w:r>
    </w:p>
    <w:p w14:paraId="2A8B9B9F">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i w:val="0"/>
          <w:color w:val="000000"/>
          <w:kern w:val="2"/>
          <w:sz w:val="32"/>
          <w:szCs w:val="32"/>
          <w:highlight w:val="none"/>
          <w:lang w:val="en-US" w:eastAsia="zh-CN" w:bidi="ar-SA"/>
        </w:rPr>
        <w:t>第三十九条</w:t>
      </w:r>
      <w:r>
        <w:rPr>
          <w:rFonts w:hint="default" w:ascii="Times New Roman" w:hAnsi="Times New Roman" w:eastAsia="仿宋_GB2312" w:cs="Times New Roman"/>
          <w:b w:val="0"/>
          <w:bCs/>
          <w:i w:val="0"/>
          <w:color w:val="000000"/>
          <w:kern w:val="2"/>
          <w:sz w:val="32"/>
          <w:szCs w:val="32"/>
          <w:highlight w:val="none"/>
          <w:lang w:val="en-US" w:eastAsia="zh-CN" w:bidi="ar-SA"/>
        </w:rPr>
        <w:t>　</w:t>
      </w:r>
      <w:r>
        <w:rPr>
          <w:rFonts w:hint="default" w:ascii="Times New Roman" w:hAnsi="Times New Roman" w:eastAsia="仿宋_GB2312" w:cs="Times New Roman"/>
          <w:sz w:val="32"/>
          <w:szCs w:val="32"/>
        </w:rPr>
        <w:t>建立生产设备管理制度，设备台账、说明书、档案应保管齐全；制定设备使用、清洁、维护和保养的操作规程，并保存相应的操作记录。生产前应检查设备是否处于正常状态，出现故障应及时排除并记录。维修后的设备应进行验证或确认，确保各项性能满足工艺要求。</w:t>
      </w:r>
    </w:p>
    <w:p w14:paraId="4B8061CC">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i w:val="0"/>
          <w:color w:val="000000"/>
          <w:kern w:val="2"/>
          <w:sz w:val="32"/>
          <w:szCs w:val="32"/>
          <w:highlight w:val="none"/>
          <w:lang w:val="en-US" w:eastAsia="zh-CN" w:bidi="ar-SA"/>
        </w:rPr>
        <w:t>第四十条</w:t>
      </w:r>
      <w:r>
        <w:rPr>
          <w:rFonts w:hint="default" w:ascii="Times New Roman" w:hAnsi="Times New Roman" w:eastAsia="仿宋_GB2312" w:cs="Times New Roman"/>
          <w:b w:val="0"/>
          <w:bCs/>
          <w:i w:val="0"/>
          <w:color w:val="000000"/>
          <w:kern w:val="2"/>
          <w:sz w:val="32"/>
          <w:szCs w:val="32"/>
          <w:highlight w:val="none"/>
          <w:lang w:val="en-US" w:eastAsia="zh-CN" w:bidi="ar-SA"/>
        </w:rPr>
        <w:t>　</w:t>
      </w:r>
      <w:r>
        <w:rPr>
          <w:rFonts w:hint="default" w:ascii="Times New Roman" w:hAnsi="Times New Roman" w:eastAsia="仿宋_GB2312" w:cs="Times New Roman"/>
          <w:sz w:val="32"/>
          <w:szCs w:val="32"/>
        </w:rPr>
        <w:t>企业应当建立并执行原料、相关产品、半成品、成品等贮存管理制度。企业应当依据产品性质的不同分设贮存场所或分区域码放，并有明确标识。建立并执行记录和文件管理制度。企业应当明确生产中采购、加工、贮存、检验、销售等环节详细记录要求，确保记录内容完整真实、可追溯，记录保存期限符合相关规定。明确文件的批准、分发和使用要求，确保各相关场所使用的文件均为有效版本。</w:t>
      </w:r>
    </w:p>
    <w:p w14:paraId="6805A6DB">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i w:val="0"/>
          <w:color w:val="000000"/>
          <w:kern w:val="2"/>
          <w:sz w:val="32"/>
          <w:szCs w:val="32"/>
          <w:highlight w:val="none"/>
          <w:lang w:val="en-US" w:eastAsia="zh-CN" w:bidi="ar-SA"/>
        </w:rPr>
        <w:t>第四十一条</w:t>
      </w:r>
      <w:r>
        <w:rPr>
          <w:rFonts w:hint="default" w:ascii="Times New Roman" w:hAnsi="Times New Roman" w:eastAsia="仿宋_GB2312" w:cs="Times New Roman"/>
          <w:b w:val="0"/>
          <w:bCs/>
          <w:i w:val="0"/>
          <w:color w:val="000000"/>
          <w:kern w:val="2"/>
          <w:sz w:val="32"/>
          <w:szCs w:val="32"/>
          <w:highlight w:val="none"/>
          <w:lang w:val="en-US" w:eastAsia="zh-CN" w:bidi="ar-SA"/>
        </w:rPr>
        <w:t>　</w:t>
      </w:r>
      <w:r>
        <w:rPr>
          <w:rFonts w:hint="default" w:ascii="Times New Roman" w:hAnsi="Times New Roman" w:eastAsia="仿宋_GB2312" w:cs="Times New Roman"/>
          <w:sz w:val="32"/>
          <w:szCs w:val="32"/>
        </w:rPr>
        <w:t>建立《食品安全国家标准 食品生产通用卫生规范》（GB 14881）、《食品生产许可管理办法》、食品安全标准、规范性文件规定的其他保障食品安全的管理制度。</w:t>
      </w:r>
    </w:p>
    <w:p w14:paraId="7143108A">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i w:val="0"/>
          <w:color w:val="000000"/>
          <w:kern w:val="2"/>
          <w:sz w:val="32"/>
          <w:szCs w:val="32"/>
          <w:highlight w:val="none"/>
          <w:lang w:val="en-US" w:eastAsia="zh-CN" w:bidi="ar-SA"/>
        </w:rPr>
        <w:t>第四十二条</w:t>
      </w:r>
      <w:r>
        <w:rPr>
          <w:rFonts w:hint="default" w:ascii="Times New Roman" w:hAnsi="Times New Roman" w:eastAsia="仿宋_GB2312" w:cs="Times New Roman"/>
          <w:b w:val="0"/>
          <w:bCs/>
          <w:i w:val="0"/>
          <w:color w:val="000000"/>
          <w:kern w:val="2"/>
          <w:sz w:val="32"/>
          <w:szCs w:val="32"/>
          <w:highlight w:val="none"/>
          <w:lang w:val="en-US" w:eastAsia="zh-CN" w:bidi="ar-SA"/>
        </w:rPr>
        <w:t>　</w:t>
      </w:r>
      <w:r>
        <w:rPr>
          <w:rFonts w:hint="default" w:ascii="Times New Roman" w:hAnsi="Times New Roman" w:eastAsia="仿宋_GB2312" w:cs="Times New Roman"/>
          <w:sz w:val="32"/>
          <w:szCs w:val="32"/>
        </w:rPr>
        <w:t>建立并执行人员卫生管理制度。企业人员的卫生管理和工作服管理要求，应当符合《食品安全国家标准食品生产通用卫生规范》（GB 14881）的规定。</w:t>
      </w:r>
    </w:p>
    <w:p w14:paraId="3BDB472D">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i w:val="0"/>
          <w:color w:val="000000"/>
          <w:kern w:val="2"/>
          <w:sz w:val="32"/>
          <w:szCs w:val="32"/>
          <w:highlight w:val="none"/>
          <w:lang w:val="en-US" w:eastAsia="zh-CN" w:bidi="ar-SA"/>
        </w:rPr>
        <w:t>第四十三条</w:t>
      </w:r>
      <w:r>
        <w:rPr>
          <w:rFonts w:hint="default" w:ascii="Times New Roman" w:hAnsi="Times New Roman" w:eastAsia="仿宋_GB2312" w:cs="Times New Roman"/>
          <w:b w:val="0"/>
          <w:bCs/>
          <w:i w:val="0"/>
          <w:color w:val="000000"/>
          <w:kern w:val="2"/>
          <w:sz w:val="32"/>
          <w:szCs w:val="32"/>
          <w:highlight w:val="none"/>
          <w:lang w:val="en-US" w:eastAsia="zh-CN" w:bidi="ar-SA"/>
        </w:rPr>
        <w:t>　</w:t>
      </w:r>
      <w:r>
        <w:rPr>
          <w:rFonts w:hint="default" w:ascii="Times New Roman" w:hAnsi="Times New Roman" w:eastAsia="仿宋_GB2312" w:cs="Times New Roman"/>
          <w:sz w:val="32"/>
          <w:szCs w:val="32"/>
        </w:rPr>
        <w:t>建立并执行食品安全事故处置制度，应有食品安全事故处置记录，定期检查本企业各项食品安全防范措施的落实情况，及时消除事故隐患。</w:t>
      </w:r>
    </w:p>
    <w:p w14:paraId="3FC1DF51">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i w:val="0"/>
          <w:color w:val="000000"/>
          <w:kern w:val="2"/>
          <w:sz w:val="32"/>
          <w:szCs w:val="32"/>
          <w:highlight w:val="none"/>
          <w:lang w:val="en-US" w:eastAsia="zh-CN" w:bidi="ar-SA"/>
        </w:rPr>
        <w:t>第四十四条</w:t>
      </w:r>
      <w:r>
        <w:rPr>
          <w:rFonts w:hint="default" w:ascii="Times New Roman" w:hAnsi="Times New Roman" w:eastAsia="仿宋_GB2312" w:cs="Times New Roman"/>
          <w:b w:val="0"/>
          <w:bCs/>
          <w:i w:val="0"/>
          <w:color w:val="000000"/>
          <w:kern w:val="2"/>
          <w:sz w:val="32"/>
          <w:szCs w:val="32"/>
          <w:highlight w:val="none"/>
          <w:lang w:val="en-US" w:eastAsia="zh-CN" w:bidi="ar-SA"/>
        </w:rPr>
        <w:t>　</w:t>
      </w:r>
      <w:r>
        <w:rPr>
          <w:rFonts w:hint="default" w:ascii="Times New Roman" w:hAnsi="Times New Roman" w:eastAsia="仿宋_GB2312" w:cs="Times New Roman"/>
          <w:sz w:val="32"/>
          <w:szCs w:val="32"/>
        </w:rPr>
        <w:t>企业应当建立并执行废弃油脂管理制度，企业在生产过程中产生的废弃油脂，包括隔油池中的废弃油脂，清洁储油罐、管道中的废弃油脂，食用油运输过程中的跑、冒、滴、漏等废弃油脂，建立相应的管理制度，加强对收集、暂存、转运、处置情况的管控和记录，防止废弃油脂流入食品加工、销售和餐饮环节。</w:t>
      </w:r>
    </w:p>
    <w:p w14:paraId="1357A1A5">
      <w:pPr>
        <w:keepNext w:val="0"/>
        <w:keepLines w:val="0"/>
        <w:pageBreakBefore w:val="0"/>
        <w:widowControl w:val="0"/>
        <w:kinsoku/>
        <w:wordWrap/>
        <w:overflowPunct/>
        <w:topLinePunct w:val="0"/>
        <w:autoSpaceDE/>
        <w:autoSpaceDN/>
        <w:bidi w:val="0"/>
        <w:spacing w:line="560" w:lineRule="exact"/>
        <w:jc w:val="center"/>
        <w:textAlignment w:val="auto"/>
        <w:rPr>
          <w:rFonts w:hint="default" w:ascii="黑体" w:hAnsi="黑体" w:eastAsia="黑体" w:cs="黑体"/>
          <w:bCs/>
          <w:color w:val="000000"/>
          <w:sz w:val="32"/>
          <w:szCs w:val="32"/>
        </w:rPr>
      </w:pPr>
      <w:r>
        <w:rPr>
          <w:rFonts w:hint="default" w:ascii="黑体" w:hAnsi="黑体" w:eastAsia="黑体" w:cs="黑体"/>
          <w:bCs/>
          <w:color w:val="000000"/>
          <w:sz w:val="32"/>
          <w:szCs w:val="32"/>
        </w:rPr>
        <w:t>第七章  试制产品检验</w:t>
      </w:r>
    </w:p>
    <w:p w14:paraId="5C17BC79">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i w:val="0"/>
          <w:color w:val="000000"/>
          <w:kern w:val="2"/>
          <w:sz w:val="32"/>
          <w:szCs w:val="32"/>
          <w:highlight w:val="none"/>
          <w:lang w:val="en-US" w:eastAsia="zh-CN" w:bidi="ar-SA"/>
        </w:rPr>
        <w:t>第四十五条</w:t>
      </w:r>
      <w:r>
        <w:rPr>
          <w:rFonts w:hint="default" w:ascii="Times New Roman" w:hAnsi="Times New Roman" w:eastAsia="仿宋_GB2312" w:cs="Times New Roman"/>
          <w:b w:val="0"/>
          <w:bCs/>
          <w:i w:val="0"/>
          <w:color w:val="000000"/>
          <w:kern w:val="2"/>
          <w:sz w:val="32"/>
          <w:szCs w:val="32"/>
          <w:highlight w:val="none"/>
          <w:lang w:val="en-US" w:eastAsia="zh-CN" w:bidi="ar-SA"/>
        </w:rPr>
        <w:t>　</w:t>
      </w:r>
      <w:r>
        <w:rPr>
          <w:rFonts w:hint="default" w:ascii="Times New Roman" w:hAnsi="Times New Roman" w:eastAsia="仿宋_GB2312" w:cs="Times New Roman"/>
          <w:sz w:val="32"/>
          <w:szCs w:val="32"/>
        </w:rPr>
        <w:t>企业应当按所申报产品的执行标准，从同一批次的试制产品中抽取具有代表性的样品进行检验。</w:t>
      </w:r>
    </w:p>
    <w:p w14:paraId="08DB54C2">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i w:val="0"/>
          <w:color w:val="000000"/>
          <w:kern w:val="2"/>
          <w:sz w:val="32"/>
          <w:szCs w:val="32"/>
          <w:highlight w:val="none"/>
          <w:lang w:val="en-US" w:eastAsia="zh-CN" w:bidi="ar-SA"/>
        </w:rPr>
        <w:t>第四十六条</w:t>
      </w:r>
      <w:r>
        <w:rPr>
          <w:rFonts w:hint="default" w:ascii="Times New Roman" w:hAnsi="Times New Roman" w:eastAsia="仿宋_GB2312" w:cs="Times New Roman"/>
          <w:b w:val="0"/>
          <w:bCs/>
          <w:i w:val="0"/>
          <w:color w:val="000000"/>
          <w:kern w:val="2"/>
          <w:sz w:val="32"/>
          <w:szCs w:val="32"/>
          <w:highlight w:val="none"/>
          <w:lang w:val="en-US" w:eastAsia="zh-CN" w:bidi="ar-SA"/>
        </w:rPr>
        <w:t>　</w:t>
      </w:r>
      <w:r>
        <w:rPr>
          <w:rFonts w:hint="default" w:ascii="Times New Roman" w:hAnsi="Times New Roman" w:eastAsia="仿宋_GB2312" w:cs="Times New Roman"/>
          <w:sz w:val="32"/>
          <w:szCs w:val="32"/>
        </w:rPr>
        <w:t>企业应当按相应的食品安全标准及产品明示标准，包括国家标准、行业标准、地方标准、企业标准以及国务院卫生行政部门公告的要求提供全项目检验合格报告。</w:t>
      </w:r>
    </w:p>
    <w:p w14:paraId="16B1F958">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i w:val="0"/>
          <w:color w:val="000000"/>
          <w:kern w:val="2"/>
          <w:sz w:val="32"/>
          <w:szCs w:val="32"/>
          <w:highlight w:val="none"/>
          <w:lang w:val="en-US" w:eastAsia="zh-CN" w:bidi="ar-SA"/>
        </w:rPr>
        <w:t>第四十七条</w:t>
      </w:r>
      <w:r>
        <w:rPr>
          <w:rFonts w:hint="default" w:ascii="Times New Roman" w:hAnsi="Times New Roman" w:eastAsia="仿宋_GB2312" w:cs="Times New Roman"/>
          <w:b w:val="0"/>
          <w:bCs/>
          <w:i w:val="0"/>
          <w:color w:val="000000"/>
          <w:kern w:val="2"/>
          <w:sz w:val="32"/>
          <w:szCs w:val="32"/>
          <w:highlight w:val="none"/>
          <w:lang w:val="en-US" w:eastAsia="zh-CN" w:bidi="ar-SA"/>
        </w:rPr>
        <w:t>　</w:t>
      </w:r>
      <w:r>
        <w:rPr>
          <w:rFonts w:hint="default" w:ascii="Times New Roman" w:hAnsi="Times New Roman" w:eastAsia="仿宋_GB2312" w:cs="Times New Roman"/>
          <w:sz w:val="32"/>
          <w:szCs w:val="32"/>
        </w:rPr>
        <w:t xml:space="preserve"> 企业应当对提供检验报告的真实性负责。</w:t>
      </w:r>
    </w:p>
    <w:p w14:paraId="6B1313F6">
      <w:pPr>
        <w:keepNext w:val="0"/>
        <w:keepLines w:val="0"/>
        <w:pageBreakBefore w:val="0"/>
        <w:widowControl w:val="0"/>
        <w:kinsoku/>
        <w:wordWrap/>
        <w:overflowPunct/>
        <w:topLinePunct w:val="0"/>
        <w:autoSpaceDE/>
        <w:autoSpaceDN/>
        <w:bidi w:val="0"/>
        <w:spacing w:line="560" w:lineRule="exact"/>
        <w:jc w:val="center"/>
        <w:textAlignment w:val="auto"/>
        <w:rPr>
          <w:rFonts w:hint="default" w:ascii="黑体" w:hAnsi="黑体" w:eastAsia="黑体" w:cs="黑体"/>
          <w:bCs/>
          <w:color w:val="000000"/>
          <w:sz w:val="32"/>
          <w:szCs w:val="32"/>
        </w:rPr>
      </w:pPr>
      <w:r>
        <w:rPr>
          <w:rFonts w:hint="default" w:ascii="黑体" w:hAnsi="黑体" w:eastAsia="黑体" w:cs="黑体"/>
          <w:bCs/>
          <w:color w:val="000000"/>
          <w:sz w:val="32"/>
          <w:szCs w:val="32"/>
        </w:rPr>
        <w:t xml:space="preserve">第八章  其他要求  </w:t>
      </w:r>
    </w:p>
    <w:p w14:paraId="002DC7A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i w:val="0"/>
          <w:color w:val="000000"/>
          <w:kern w:val="2"/>
          <w:sz w:val="32"/>
          <w:szCs w:val="32"/>
          <w:highlight w:val="none"/>
          <w:lang w:val="en-US" w:eastAsia="zh-CN" w:bidi="ar-SA"/>
        </w:rPr>
        <w:t>第四十八条</w:t>
      </w:r>
      <w:r>
        <w:rPr>
          <w:rFonts w:hint="default" w:ascii="Times New Roman" w:hAnsi="Times New Roman" w:eastAsia="仿宋_GB2312" w:cs="Times New Roman"/>
          <w:b w:val="0"/>
          <w:bCs/>
          <w:i w:val="0"/>
          <w:color w:val="000000"/>
          <w:kern w:val="2"/>
          <w:sz w:val="32"/>
          <w:szCs w:val="32"/>
          <w:highlight w:val="none"/>
          <w:lang w:val="en-US" w:eastAsia="zh-CN" w:bidi="ar-SA"/>
        </w:rPr>
        <w:t>　</w:t>
      </w:r>
      <w:r>
        <w:rPr>
          <w:rFonts w:hint="default" w:ascii="Times New Roman" w:hAnsi="Times New Roman" w:eastAsia="仿宋_GB2312" w:cs="Times New Roman"/>
          <w:sz w:val="32"/>
          <w:szCs w:val="32"/>
        </w:rPr>
        <w:t>中链甘油三酯相关标准参见附件（资料性文件）。</w:t>
      </w:r>
    </w:p>
    <w:p w14:paraId="6E34191D">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val="0"/>
          <w:i w:val="0"/>
          <w:color w:val="000000"/>
          <w:kern w:val="2"/>
          <w:sz w:val="32"/>
          <w:szCs w:val="32"/>
          <w:highlight w:val="none"/>
          <w:lang w:val="en-US" w:eastAsia="zh-CN" w:bidi="ar-SA"/>
        </w:rPr>
        <w:t>第四十九条</w:t>
      </w:r>
      <w:r>
        <w:rPr>
          <w:rFonts w:hint="default" w:ascii="Times New Roman" w:hAnsi="Times New Roman" w:eastAsia="仿宋_GB2312" w:cs="Times New Roman"/>
          <w:b w:val="0"/>
          <w:bCs/>
          <w:i w:val="0"/>
          <w:color w:val="000000"/>
          <w:kern w:val="2"/>
          <w:sz w:val="32"/>
          <w:szCs w:val="32"/>
          <w:highlight w:val="none"/>
          <w:lang w:val="en-US" w:eastAsia="zh-CN" w:bidi="ar-SA"/>
        </w:rPr>
        <w:t>　</w:t>
      </w:r>
      <w:r>
        <w:rPr>
          <w:rFonts w:hint="default" w:ascii="Times New Roman" w:hAnsi="Times New Roman" w:eastAsia="仿宋_GB2312" w:cs="Times New Roman"/>
          <w:sz w:val="32"/>
          <w:szCs w:val="32"/>
        </w:rPr>
        <w:t>本方案自发布之日起实施。</w:t>
      </w:r>
    </w:p>
    <w:p w14:paraId="7F5A2E08">
      <w:pPr>
        <w:pStyle w:val="7"/>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sz w:val="32"/>
          <w:szCs w:val="32"/>
        </w:rPr>
      </w:pPr>
    </w:p>
    <w:p w14:paraId="4EF5004A">
      <w:pPr>
        <w:pStyle w:val="7"/>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附件：中链甘油三酯生产涉及的主要标准</w:t>
      </w:r>
    </w:p>
    <w:p w14:paraId="5B77CDF9">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p w14:paraId="4AD6DD3C">
      <w:pPr>
        <w:pStyle w:val="8"/>
        <w:jc w:val="left"/>
        <w:rPr>
          <w:rFonts w:hint="eastAsia" w:ascii="仿宋" w:hAnsi="仿宋" w:eastAsia="仿宋" w:cs="仿宋"/>
          <w:sz w:val="32"/>
        </w:rPr>
      </w:pPr>
      <w:r>
        <w:rPr>
          <w:rFonts w:hint="eastAsia" w:ascii="黑体" w:hAnsi="黑体" w:eastAsia="黑体" w:cs="黑体"/>
          <w:sz w:val="32"/>
        </w:rPr>
        <w:t>附件</w:t>
      </w:r>
    </w:p>
    <w:p w14:paraId="1FC25791">
      <w:pPr>
        <w:widowControl/>
        <w:spacing w:line="440" w:lineRule="exact"/>
        <w:jc w:val="center"/>
        <w:rPr>
          <w:rFonts w:hint="eastAsia" w:ascii="方正小标宋_GBK" w:hAnsi="方正小标宋_GBK" w:eastAsia="方正小标宋_GBK" w:cs="方正小标宋_GBK"/>
          <w:bCs/>
          <w:color w:val="000000"/>
          <w:kern w:val="0"/>
          <w:sz w:val="44"/>
          <w:szCs w:val="44"/>
        </w:rPr>
      </w:pPr>
      <w:r>
        <w:rPr>
          <w:rFonts w:hint="eastAsia" w:ascii="方正小标宋_GBK" w:hAnsi="方正小标宋_GBK" w:eastAsia="方正小标宋_GBK" w:cs="方正小标宋_GBK"/>
          <w:bCs/>
          <w:color w:val="000000"/>
          <w:kern w:val="0"/>
          <w:sz w:val="44"/>
          <w:szCs w:val="44"/>
        </w:rPr>
        <w:t>中链甘油三酯生产涉及的主要标准</w:t>
      </w:r>
    </w:p>
    <w:tbl>
      <w:tblPr>
        <w:tblStyle w:val="14"/>
        <w:tblW w:w="91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3"/>
        <w:gridCol w:w="1920"/>
        <w:gridCol w:w="6235"/>
      </w:tblGrid>
      <w:tr w14:paraId="1208B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blHeader/>
          <w:jc w:val="center"/>
        </w:trPr>
        <w:tc>
          <w:tcPr>
            <w:tcW w:w="1023" w:type="dxa"/>
            <w:vAlign w:val="center"/>
          </w:tcPr>
          <w:p w14:paraId="15FAFB6F">
            <w:pPr>
              <w:adjustRightInd w:val="0"/>
              <w:snapToGrid w:val="0"/>
              <w:spacing w:line="360" w:lineRule="exact"/>
              <w:jc w:val="center"/>
              <w:rPr>
                <w:rFonts w:eastAsia="仿宋" w:cs="Times New Roman"/>
                <w:b/>
                <w:color w:val="000000"/>
                <w:kern w:val="0"/>
                <w:sz w:val="32"/>
                <w:szCs w:val="32"/>
                <w:u w:val="single"/>
              </w:rPr>
            </w:pPr>
            <w:r>
              <w:rPr>
                <w:rFonts w:eastAsia="仿宋" w:cs="Times New Roman"/>
                <w:b/>
                <w:color w:val="000000"/>
                <w:kern w:val="0"/>
                <w:sz w:val="32"/>
                <w:szCs w:val="32"/>
              </w:rPr>
              <w:t>序号</w:t>
            </w:r>
          </w:p>
        </w:tc>
        <w:tc>
          <w:tcPr>
            <w:tcW w:w="1920" w:type="dxa"/>
            <w:shd w:val="clear" w:color="000000" w:fill="auto"/>
            <w:vAlign w:val="center"/>
          </w:tcPr>
          <w:p w14:paraId="2D85EDEF">
            <w:pPr>
              <w:adjustRightInd w:val="0"/>
              <w:snapToGrid w:val="0"/>
              <w:spacing w:line="360" w:lineRule="exact"/>
              <w:jc w:val="center"/>
              <w:rPr>
                <w:rFonts w:eastAsia="仿宋" w:cs="Times New Roman"/>
                <w:b/>
                <w:color w:val="000000"/>
                <w:kern w:val="0"/>
                <w:sz w:val="32"/>
                <w:szCs w:val="32"/>
                <w:u w:val="single"/>
              </w:rPr>
            </w:pPr>
            <w:r>
              <w:rPr>
                <w:rFonts w:eastAsia="仿宋" w:cs="Times New Roman"/>
                <w:b/>
                <w:color w:val="000000"/>
                <w:kern w:val="0"/>
                <w:sz w:val="32"/>
                <w:szCs w:val="32"/>
              </w:rPr>
              <w:t>标准号</w:t>
            </w:r>
          </w:p>
        </w:tc>
        <w:tc>
          <w:tcPr>
            <w:tcW w:w="6235" w:type="dxa"/>
            <w:shd w:val="clear" w:color="000000" w:fill="auto"/>
            <w:vAlign w:val="center"/>
          </w:tcPr>
          <w:p w14:paraId="60BD24AE">
            <w:pPr>
              <w:adjustRightInd w:val="0"/>
              <w:snapToGrid w:val="0"/>
              <w:spacing w:line="360" w:lineRule="exact"/>
              <w:jc w:val="center"/>
              <w:rPr>
                <w:rFonts w:eastAsia="仿宋" w:cs="Times New Roman"/>
                <w:b/>
                <w:color w:val="000000"/>
                <w:kern w:val="0"/>
                <w:sz w:val="32"/>
                <w:szCs w:val="32"/>
                <w:u w:val="single"/>
              </w:rPr>
            </w:pPr>
            <w:r>
              <w:rPr>
                <w:rFonts w:eastAsia="仿宋" w:cs="Times New Roman"/>
                <w:b/>
                <w:color w:val="000000"/>
                <w:kern w:val="0"/>
                <w:sz w:val="32"/>
                <w:szCs w:val="32"/>
              </w:rPr>
              <w:t>标准名称</w:t>
            </w:r>
          </w:p>
        </w:tc>
      </w:tr>
      <w:tr w14:paraId="10F17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023" w:type="dxa"/>
            <w:vAlign w:val="center"/>
          </w:tcPr>
          <w:p w14:paraId="784BBFAF">
            <w:pPr>
              <w:spacing w:line="360" w:lineRule="exact"/>
              <w:jc w:val="center"/>
              <w:rPr>
                <w:rFonts w:eastAsia="仿宋" w:cs="Times New Roman"/>
                <w:color w:val="000000"/>
                <w:kern w:val="0"/>
                <w:sz w:val="32"/>
                <w:szCs w:val="32"/>
              </w:rPr>
            </w:pPr>
            <w:r>
              <w:rPr>
                <w:rFonts w:eastAsia="仿宋" w:cs="Times New Roman"/>
                <w:color w:val="000000"/>
                <w:sz w:val="32"/>
                <w:szCs w:val="32"/>
              </w:rPr>
              <w:t>1</w:t>
            </w:r>
          </w:p>
        </w:tc>
        <w:tc>
          <w:tcPr>
            <w:tcW w:w="1920" w:type="dxa"/>
            <w:vAlign w:val="center"/>
          </w:tcPr>
          <w:p w14:paraId="1B3EC2B2">
            <w:pPr>
              <w:adjustRightInd w:val="0"/>
              <w:snapToGrid w:val="0"/>
              <w:spacing w:line="360" w:lineRule="exact"/>
              <w:jc w:val="center"/>
              <w:rPr>
                <w:rFonts w:eastAsia="仿宋" w:cs="Times New Roman"/>
                <w:color w:val="000000"/>
                <w:kern w:val="0"/>
                <w:sz w:val="32"/>
                <w:szCs w:val="32"/>
              </w:rPr>
            </w:pPr>
            <w:r>
              <w:rPr>
                <w:rFonts w:eastAsia="仿宋" w:cs="Times New Roman"/>
                <w:color w:val="000000"/>
                <w:sz w:val="32"/>
                <w:szCs w:val="32"/>
              </w:rPr>
              <w:t>GB 5749</w:t>
            </w:r>
          </w:p>
        </w:tc>
        <w:tc>
          <w:tcPr>
            <w:tcW w:w="6235" w:type="dxa"/>
            <w:vAlign w:val="center"/>
          </w:tcPr>
          <w:p w14:paraId="00A0BB59">
            <w:pPr>
              <w:adjustRightInd w:val="0"/>
              <w:snapToGrid w:val="0"/>
              <w:spacing w:line="360" w:lineRule="exact"/>
              <w:jc w:val="center"/>
              <w:rPr>
                <w:rFonts w:eastAsia="仿宋" w:cs="Times New Roman"/>
                <w:color w:val="000000"/>
                <w:kern w:val="0"/>
                <w:sz w:val="32"/>
                <w:szCs w:val="32"/>
              </w:rPr>
            </w:pPr>
            <w:r>
              <w:rPr>
                <w:rFonts w:eastAsia="仿宋" w:cs="Times New Roman"/>
                <w:color w:val="000000"/>
                <w:sz w:val="32"/>
                <w:szCs w:val="32"/>
              </w:rPr>
              <w:t>生活饮用水卫生标准</w:t>
            </w:r>
          </w:p>
        </w:tc>
      </w:tr>
      <w:tr w14:paraId="185C4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023" w:type="dxa"/>
            <w:vAlign w:val="center"/>
          </w:tcPr>
          <w:p w14:paraId="6B1F67AA">
            <w:pPr>
              <w:spacing w:line="360" w:lineRule="exact"/>
              <w:jc w:val="center"/>
              <w:rPr>
                <w:rFonts w:eastAsia="仿宋" w:cs="Times New Roman"/>
                <w:color w:val="000000"/>
                <w:kern w:val="0"/>
                <w:sz w:val="32"/>
                <w:szCs w:val="32"/>
              </w:rPr>
            </w:pPr>
            <w:r>
              <w:rPr>
                <w:rFonts w:eastAsia="仿宋" w:cs="Times New Roman"/>
                <w:color w:val="000000"/>
                <w:sz w:val="32"/>
                <w:szCs w:val="32"/>
              </w:rPr>
              <w:t>2</w:t>
            </w:r>
          </w:p>
        </w:tc>
        <w:tc>
          <w:tcPr>
            <w:tcW w:w="1920" w:type="dxa"/>
            <w:vAlign w:val="center"/>
          </w:tcPr>
          <w:p w14:paraId="31736263">
            <w:pPr>
              <w:adjustRightInd w:val="0"/>
              <w:snapToGrid w:val="0"/>
              <w:spacing w:line="360" w:lineRule="exact"/>
              <w:jc w:val="center"/>
              <w:rPr>
                <w:rFonts w:eastAsia="仿宋" w:cs="Times New Roman"/>
                <w:color w:val="000000"/>
                <w:sz w:val="32"/>
                <w:szCs w:val="32"/>
              </w:rPr>
            </w:pPr>
            <w:r>
              <w:rPr>
                <w:rFonts w:eastAsia="仿宋" w:cs="Times New Roman"/>
                <w:color w:val="000000"/>
                <w:sz w:val="32"/>
                <w:szCs w:val="32"/>
              </w:rPr>
              <w:t>GB 29950</w:t>
            </w:r>
          </w:p>
        </w:tc>
        <w:tc>
          <w:tcPr>
            <w:tcW w:w="6235" w:type="dxa"/>
            <w:vAlign w:val="center"/>
          </w:tcPr>
          <w:p w14:paraId="327EA508">
            <w:pPr>
              <w:adjustRightInd w:val="0"/>
              <w:snapToGrid w:val="0"/>
              <w:spacing w:line="360" w:lineRule="exact"/>
              <w:jc w:val="center"/>
              <w:rPr>
                <w:rFonts w:eastAsia="仿宋" w:cs="Times New Roman"/>
                <w:color w:val="000000"/>
                <w:sz w:val="32"/>
                <w:szCs w:val="32"/>
              </w:rPr>
            </w:pPr>
            <w:r>
              <w:rPr>
                <w:rFonts w:hint="eastAsia" w:eastAsia="仿宋" w:cs="Times New Roman"/>
                <w:color w:val="000000"/>
                <w:sz w:val="32"/>
                <w:szCs w:val="32"/>
              </w:rPr>
              <w:t>食品安全国家标准</w:t>
            </w:r>
            <w:r>
              <w:rPr>
                <w:rFonts w:eastAsia="仿宋" w:cs="Times New Roman"/>
                <w:color w:val="000000"/>
                <w:sz w:val="32"/>
                <w:szCs w:val="32"/>
              </w:rPr>
              <w:t xml:space="preserve"> </w:t>
            </w:r>
            <w:r>
              <w:rPr>
                <w:rFonts w:hint="eastAsia" w:eastAsia="仿宋" w:cs="Times New Roman"/>
                <w:color w:val="000000"/>
                <w:sz w:val="32"/>
                <w:szCs w:val="32"/>
              </w:rPr>
              <w:t>食品添加剂</w:t>
            </w:r>
            <w:r>
              <w:rPr>
                <w:rFonts w:eastAsia="仿宋" w:cs="Times New Roman"/>
                <w:color w:val="000000"/>
                <w:sz w:val="32"/>
                <w:szCs w:val="32"/>
              </w:rPr>
              <w:t xml:space="preserve"> </w:t>
            </w:r>
            <w:r>
              <w:rPr>
                <w:rFonts w:hint="eastAsia" w:eastAsia="仿宋" w:cs="Times New Roman"/>
                <w:color w:val="000000"/>
                <w:sz w:val="32"/>
                <w:szCs w:val="32"/>
              </w:rPr>
              <w:t>甘油</w:t>
            </w:r>
          </w:p>
        </w:tc>
      </w:tr>
      <w:tr w14:paraId="6BB82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1023" w:type="dxa"/>
            <w:vAlign w:val="center"/>
          </w:tcPr>
          <w:p w14:paraId="7760360B">
            <w:pPr>
              <w:spacing w:line="360" w:lineRule="exact"/>
              <w:jc w:val="center"/>
              <w:rPr>
                <w:rFonts w:eastAsia="仿宋" w:cs="Times New Roman"/>
                <w:color w:val="000000"/>
                <w:kern w:val="0"/>
                <w:sz w:val="32"/>
                <w:szCs w:val="32"/>
              </w:rPr>
            </w:pPr>
            <w:r>
              <w:rPr>
                <w:rFonts w:eastAsia="仿宋" w:cs="Times New Roman"/>
                <w:color w:val="000000"/>
                <w:sz w:val="32"/>
                <w:szCs w:val="32"/>
              </w:rPr>
              <w:t>3</w:t>
            </w:r>
          </w:p>
        </w:tc>
        <w:tc>
          <w:tcPr>
            <w:tcW w:w="1920" w:type="dxa"/>
            <w:vAlign w:val="center"/>
          </w:tcPr>
          <w:p w14:paraId="32D68AF1">
            <w:pPr>
              <w:adjustRightInd w:val="0"/>
              <w:snapToGrid w:val="0"/>
              <w:spacing w:line="360" w:lineRule="exact"/>
              <w:jc w:val="center"/>
              <w:rPr>
                <w:rFonts w:eastAsia="仿宋" w:cs="Times New Roman"/>
                <w:color w:val="000000"/>
                <w:sz w:val="32"/>
                <w:szCs w:val="32"/>
              </w:rPr>
            </w:pPr>
            <w:r>
              <w:rPr>
                <w:rFonts w:eastAsia="仿宋" w:cs="Times New Roman"/>
                <w:color w:val="000000"/>
                <w:sz w:val="32"/>
                <w:szCs w:val="32"/>
              </w:rPr>
              <w:t>GB 8955</w:t>
            </w:r>
          </w:p>
        </w:tc>
        <w:tc>
          <w:tcPr>
            <w:tcW w:w="6235" w:type="dxa"/>
            <w:vAlign w:val="center"/>
          </w:tcPr>
          <w:p w14:paraId="58B74387">
            <w:pPr>
              <w:adjustRightInd w:val="0"/>
              <w:snapToGrid w:val="0"/>
              <w:spacing w:line="360" w:lineRule="exact"/>
              <w:jc w:val="center"/>
              <w:rPr>
                <w:rFonts w:eastAsia="仿宋" w:cs="Times New Roman"/>
                <w:color w:val="000000"/>
                <w:sz w:val="32"/>
                <w:szCs w:val="32"/>
              </w:rPr>
            </w:pPr>
            <w:r>
              <w:rPr>
                <w:rFonts w:hint="eastAsia" w:eastAsia="仿宋" w:cs="Times New Roman"/>
                <w:color w:val="000000"/>
                <w:sz w:val="32"/>
                <w:szCs w:val="32"/>
              </w:rPr>
              <w:t>食品安全国家标准 食用植物油及其制品生产卫生规范</w:t>
            </w:r>
          </w:p>
        </w:tc>
      </w:tr>
      <w:tr w14:paraId="021DB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023" w:type="dxa"/>
            <w:vAlign w:val="center"/>
          </w:tcPr>
          <w:p w14:paraId="707A5DEA">
            <w:pPr>
              <w:spacing w:line="360" w:lineRule="exact"/>
              <w:jc w:val="center"/>
              <w:rPr>
                <w:rFonts w:eastAsia="仿宋" w:cs="Times New Roman"/>
                <w:color w:val="000000"/>
                <w:sz w:val="32"/>
                <w:szCs w:val="32"/>
              </w:rPr>
            </w:pPr>
            <w:r>
              <w:rPr>
                <w:rFonts w:hint="eastAsia" w:eastAsia="仿宋" w:cs="Times New Roman"/>
                <w:color w:val="000000"/>
                <w:sz w:val="32"/>
                <w:szCs w:val="32"/>
              </w:rPr>
              <w:t>4</w:t>
            </w:r>
          </w:p>
        </w:tc>
        <w:tc>
          <w:tcPr>
            <w:tcW w:w="1920" w:type="dxa"/>
            <w:vAlign w:val="center"/>
          </w:tcPr>
          <w:p w14:paraId="59CEC4FF">
            <w:pPr>
              <w:adjustRightInd w:val="0"/>
              <w:snapToGrid w:val="0"/>
              <w:spacing w:line="360" w:lineRule="exact"/>
              <w:jc w:val="center"/>
              <w:rPr>
                <w:rFonts w:eastAsia="仿宋" w:cs="Times New Roman"/>
                <w:color w:val="000000"/>
                <w:sz w:val="32"/>
                <w:szCs w:val="32"/>
              </w:rPr>
            </w:pPr>
            <w:r>
              <w:rPr>
                <w:rFonts w:eastAsia="仿宋" w:cs="Times New Roman"/>
                <w:color w:val="000000"/>
                <w:sz w:val="32"/>
                <w:szCs w:val="32"/>
              </w:rPr>
              <w:t>GB 2761</w:t>
            </w:r>
          </w:p>
        </w:tc>
        <w:tc>
          <w:tcPr>
            <w:tcW w:w="6235" w:type="dxa"/>
            <w:vAlign w:val="center"/>
          </w:tcPr>
          <w:p w14:paraId="2E2A1C1D">
            <w:pPr>
              <w:adjustRightInd w:val="0"/>
              <w:snapToGrid w:val="0"/>
              <w:spacing w:line="360" w:lineRule="exact"/>
              <w:jc w:val="center"/>
              <w:rPr>
                <w:rFonts w:eastAsia="仿宋" w:cs="Times New Roman"/>
                <w:color w:val="000000"/>
                <w:sz w:val="32"/>
                <w:szCs w:val="32"/>
              </w:rPr>
            </w:pPr>
            <w:r>
              <w:rPr>
                <w:rFonts w:hint="eastAsia" w:eastAsia="仿宋" w:cs="Times New Roman"/>
                <w:color w:val="000000"/>
                <w:sz w:val="32"/>
                <w:szCs w:val="32"/>
              </w:rPr>
              <w:t>食品安全国家标准</w:t>
            </w:r>
            <w:r>
              <w:rPr>
                <w:rFonts w:eastAsia="仿宋" w:cs="Times New Roman"/>
                <w:color w:val="000000"/>
                <w:sz w:val="32"/>
                <w:szCs w:val="32"/>
              </w:rPr>
              <w:t xml:space="preserve"> </w:t>
            </w:r>
            <w:r>
              <w:rPr>
                <w:rFonts w:hint="eastAsia" w:eastAsia="仿宋" w:cs="Times New Roman"/>
                <w:color w:val="000000"/>
                <w:sz w:val="32"/>
                <w:szCs w:val="32"/>
              </w:rPr>
              <w:t>食品中真菌毒素限量</w:t>
            </w:r>
          </w:p>
        </w:tc>
      </w:tr>
      <w:tr w14:paraId="7171C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023" w:type="dxa"/>
            <w:vAlign w:val="center"/>
          </w:tcPr>
          <w:p w14:paraId="6AA0DCEC">
            <w:pPr>
              <w:spacing w:line="360" w:lineRule="exact"/>
              <w:jc w:val="center"/>
              <w:rPr>
                <w:rFonts w:eastAsia="仿宋" w:cs="Times New Roman"/>
                <w:color w:val="000000"/>
                <w:sz w:val="32"/>
                <w:szCs w:val="32"/>
              </w:rPr>
            </w:pPr>
            <w:r>
              <w:rPr>
                <w:rFonts w:hint="eastAsia" w:eastAsia="仿宋" w:cs="Times New Roman"/>
                <w:color w:val="000000"/>
                <w:sz w:val="32"/>
                <w:szCs w:val="32"/>
              </w:rPr>
              <w:t>5</w:t>
            </w:r>
          </w:p>
        </w:tc>
        <w:tc>
          <w:tcPr>
            <w:tcW w:w="1920" w:type="dxa"/>
            <w:vAlign w:val="center"/>
          </w:tcPr>
          <w:p w14:paraId="1FD441DC">
            <w:pPr>
              <w:adjustRightInd w:val="0"/>
              <w:snapToGrid w:val="0"/>
              <w:spacing w:line="360" w:lineRule="exact"/>
              <w:jc w:val="center"/>
              <w:rPr>
                <w:rFonts w:eastAsia="仿宋" w:cs="Times New Roman"/>
                <w:color w:val="000000"/>
                <w:sz w:val="32"/>
                <w:szCs w:val="32"/>
              </w:rPr>
            </w:pPr>
            <w:r>
              <w:rPr>
                <w:rFonts w:eastAsia="仿宋" w:cs="Times New Roman"/>
                <w:color w:val="000000"/>
                <w:sz w:val="32"/>
                <w:szCs w:val="32"/>
              </w:rPr>
              <w:t>GB 2762</w:t>
            </w:r>
          </w:p>
        </w:tc>
        <w:tc>
          <w:tcPr>
            <w:tcW w:w="6235" w:type="dxa"/>
            <w:vAlign w:val="center"/>
          </w:tcPr>
          <w:p w14:paraId="4D2A80AC">
            <w:pPr>
              <w:adjustRightInd w:val="0"/>
              <w:snapToGrid w:val="0"/>
              <w:spacing w:line="360" w:lineRule="exact"/>
              <w:jc w:val="center"/>
              <w:rPr>
                <w:rFonts w:eastAsia="仿宋" w:cs="Times New Roman"/>
                <w:color w:val="000000"/>
                <w:sz w:val="32"/>
                <w:szCs w:val="32"/>
              </w:rPr>
            </w:pPr>
            <w:r>
              <w:rPr>
                <w:rFonts w:hint="eastAsia" w:eastAsia="仿宋" w:cs="Times New Roman"/>
                <w:color w:val="000000"/>
                <w:sz w:val="32"/>
                <w:szCs w:val="32"/>
              </w:rPr>
              <w:t>食品安全国家标准</w:t>
            </w:r>
            <w:r>
              <w:rPr>
                <w:rFonts w:eastAsia="仿宋" w:cs="Times New Roman"/>
                <w:color w:val="000000"/>
                <w:sz w:val="32"/>
                <w:szCs w:val="32"/>
              </w:rPr>
              <w:t xml:space="preserve"> </w:t>
            </w:r>
            <w:r>
              <w:rPr>
                <w:rFonts w:hint="eastAsia" w:eastAsia="仿宋" w:cs="Times New Roman"/>
                <w:color w:val="000000"/>
                <w:sz w:val="32"/>
                <w:szCs w:val="32"/>
              </w:rPr>
              <w:t>食品中污染物限量</w:t>
            </w:r>
          </w:p>
        </w:tc>
      </w:tr>
      <w:tr w14:paraId="12BCA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1023" w:type="dxa"/>
            <w:vAlign w:val="center"/>
          </w:tcPr>
          <w:p w14:paraId="11BCDBF2">
            <w:pPr>
              <w:spacing w:line="360" w:lineRule="exact"/>
              <w:jc w:val="center"/>
              <w:rPr>
                <w:rFonts w:eastAsia="仿宋" w:cs="Times New Roman"/>
                <w:color w:val="000000"/>
                <w:sz w:val="32"/>
                <w:szCs w:val="32"/>
              </w:rPr>
            </w:pPr>
            <w:r>
              <w:rPr>
                <w:rFonts w:hint="eastAsia" w:eastAsia="仿宋" w:cs="Times New Roman"/>
                <w:color w:val="000000"/>
                <w:sz w:val="32"/>
                <w:szCs w:val="32"/>
              </w:rPr>
              <w:t>6</w:t>
            </w:r>
          </w:p>
        </w:tc>
        <w:tc>
          <w:tcPr>
            <w:tcW w:w="1920" w:type="dxa"/>
            <w:vAlign w:val="center"/>
          </w:tcPr>
          <w:p w14:paraId="09531A7E">
            <w:pPr>
              <w:adjustRightInd w:val="0"/>
              <w:snapToGrid w:val="0"/>
              <w:spacing w:line="360" w:lineRule="exact"/>
              <w:jc w:val="center"/>
              <w:rPr>
                <w:rFonts w:eastAsia="仿宋" w:cs="Times New Roman"/>
                <w:color w:val="000000"/>
                <w:sz w:val="32"/>
                <w:szCs w:val="32"/>
              </w:rPr>
            </w:pPr>
            <w:r>
              <w:rPr>
                <w:rFonts w:eastAsia="仿宋" w:cs="Times New Roman"/>
                <w:color w:val="000000"/>
                <w:sz w:val="32"/>
                <w:szCs w:val="32"/>
              </w:rPr>
              <w:t>GB 2763</w:t>
            </w:r>
          </w:p>
        </w:tc>
        <w:tc>
          <w:tcPr>
            <w:tcW w:w="6235" w:type="dxa"/>
            <w:vAlign w:val="center"/>
          </w:tcPr>
          <w:p w14:paraId="3E82D88E">
            <w:pPr>
              <w:adjustRightInd w:val="0"/>
              <w:snapToGrid w:val="0"/>
              <w:spacing w:line="360" w:lineRule="exact"/>
              <w:jc w:val="center"/>
              <w:rPr>
                <w:rFonts w:eastAsia="仿宋" w:cs="Times New Roman"/>
                <w:color w:val="000000"/>
                <w:sz w:val="32"/>
                <w:szCs w:val="32"/>
              </w:rPr>
            </w:pPr>
            <w:r>
              <w:rPr>
                <w:rFonts w:hint="eastAsia" w:eastAsia="仿宋" w:cs="Times New Roman"/>
                <w:color w:val="000000"/>
                <w:sz w:val="32"/>
                <w:szCs w:val="32"/>
              </w:rPr>
              <w:t>食品安全国家标准</w:t>
            </w:r>
            <w:r>
              <w:rPr>
                <w:rFonts w:eastAsia="仿宋" w:cs="Times New Roman"/>
                <w:color w:val="000000"/>
                <w:sz w:val="32"/>
                <w:szCs w:val="32"/>
              </w:rPr>
              <w:t xml:space="preserve"> </w:t>
            </w:r>
            <w:r>
              <w:rPr>
                <w:rFonts w:hint="eastAsia" w:eastAsia="仿宋" w:cs="Times New Roman"/>
                <w:color w:val="000000"/>
                <w:sz w:val="32"/>
                <w:szCs w:val="32"/>
              </w:rPr>
              <w:t>食品中农药最大残留限量</w:t>
            </w:r>
          </w:p>
        </w:tc>
      </w:tr>
      <w:tr w14:paraId="347D0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023" w:type="dxa"/>
            <w:vAlign w:val="center"/>
          </w:tcPr>
          <w:p w14:paraId="4884B7D7">
            <w:pPr>
              <w:spacing w:line="360" w:lineRule="exact"/>
              <w:jc w:val="center"/>
              <w:rPr>
                <w:rFonts w:eastAsia="仿宋" w:cs="Times New Roman"/>
                <w:color w:val="000000"/>
                <w:kern w:val="0"/>
                <w:sz w:val="32"/>
                <w:szCs w:val="32"/>
              </w:rPr>
            </w:pPr>
            <w:r>
              <w:rPr>
                <w:rFonts w:hint="eastAsia" w:eastAsia="仿宋" w:cs="Times New Roman"/>
                <w:color w:val="000000"/>
                <w:kern w:val="0"/>
                <w:sz w:val="32"/>
                <w:szCs w:val="32"/>
              </w:rPr>
              <w:t>7</w:t>
            </w:r>
          </w:p>
        </w:tc>
        <w:tc>
          <w:tcPr>
            <w:tcW w:w="1920" w:type="dxa"/>
            <w:vAlign w:val="center"/>
          </w:tcPr>
          <w:p w14:paraId="504E14AD">
            <w:pPr>
              <w:adjustRightInd w:val="0"/>
              <w:snapToGrid w:val="0"/>
              <w:spacing w:line="360" w:lineRule="exact"/>
              <w:jc w:val="center"/>
              <w:rPr>
                <w:rFonts w:eastAsia="仿宋" w:cs="Times New Roman"/>
                <w:color w:val="000000"/>
                <w:kern w:val="0"/>
                <w:sz w:val="32"/>
                <w:szCs w:val="32"/>
              </w:rPr>
            </w:pPr>
            <w:r>
              <w:rPr>
                <w:rFonts w:eastAsia="仿宋" w:cs="Times New Roman"/>
                <w:color w:val="000000"/>
                <w:kern w:val="0"/>
                <w:sz w:val="32"/>
                <w:szCs w:val="32"/>
              </w:rPr>
              <w:t>GB 14881</w:t>
            </w:r>
          </w:p>
        </w:tc>
        <w:tc>
          <w:tcPr>
            <w:tcW w:w="6235" w:type="dxa"/>
            <w:vAlign w:val="center"/>
          </w:tcPr>
          <w:p w14:paraId="65E1B1D9">
            <w:pPr>
              <w:adjustRightInd w:val="0"/>
              <w:snapToGrid w:val="0"/>
              <w:spacing w:line="360" w:lineRule="exact"/>
              <w:jc w:val="center"/>
              <w:rPr>
                <w:rFonts w:eastAsia="仿宋" w:cs="Times New Roman"/>
                <w:color w:val="000000"/>
                <w:kern w:val="0"/>
                <w:sz w:val="32"/>
                <w:szCs w:val="32"/>
              </w:rPr>
            </w:pPr>
            <w:r>
              <w:rPr>
                <w:rFonts w:eastAsia="仿宋" w:cs="Times New Roman"/>
                <w:color w:val="000000"/>
                <w:kern w:val="0"/>
                <w:sz w:val="32"/>
                <w:szCs w:val="32"/>
              </w:rPr>
              <w:t>食品安全国家标准食品生产通用卫生规范</w:t>
            </w:r>
          </w:p>
        </w:tc>
      </w:tr>
      <w:tr w14:paraId="115B8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023" w:type="dxa"/>
            <w:vAlign w:val="center"/>
          </w:tcPr>
          <w:p w14:paraId="25A4256B">
            <w:pPr>
              <w:spacing w:line="360" w:lineRule="exact"/>
              <w:jc w:val="center"/>
              <w:rPr>
                <w:rFonts w:eastAsia="仿宋" w:cs="Times New Roman"/>
                <w:color w:val="000000"/>
                <w:kern w:val="0"/>
                <w:sz w:val="32"/>
                <w:szCs w:val="32"/>
              </w:rPr>
            </w:pPr>
            <w:r>
              <w:rPr>
                <w:rFonts w:hint="eastAsia" w:eastAsia="仿宋" w:cs="Times New Roman"/>
                <w:color w:val="000000"/>
                <w:kern w:val="0"/>
                <w:sz w:val="32"/>
                <w:szCs w:val="32"/>
              </w:rPr>
              <w:t>8</w:t>
            </w:r>
          </w:p>
        </w:tc>
        <w:tc>
          <w:tcPr>
            <w:tcW w:w="1920" w:type="dxa"/>
            <w:vAlign w:val="center"/>
          </w:tcPr>
          <w:p w14:paraId="7D2FE85A">
            <w:pPr>
              <w:adjustRightInd w:val="0"/>
              <w:snapToGrid w:val="0"/>
              <w:spacing w:line="360" w:lineRule="exact"/>
              <w:jc w:val="center"/>
              <w:rPr>
                <w:rFonts w:eastAsia="仿宋" w:cs="Times New Roman"/>
                <w:color w:val="000000"/>
                <w:kern w:val="0"/>
                <w:sz w:val="32"/>
                <w:szCs w:val="32"/>
              </w:rPr>
            </w:pPr>
            <w:r>
              <w:rPr>
                <w:rFonts w:eastAsia="仿宋" w:cs="Times New Roman"/>
                <w:color w:val="000000"/>
                <w:kern w:val="0"/>
                <w:sz w:val="32"/>
                <w:szCs w:val="32"/>
              </w:rPr>
              <w:t>GB 7718</w:t>
            </w:r>
          </w:p>
        </w:tc>
        <w:tc>
          <w:tcPr>
            <w:tcW w:w="6235" w:type="dxa"/>
            <w:vAlign w:val="center"/>
          </w:tcPr>
          <w:p w14:paraId="3A0EF741">
            <w:pPr>
              <w:adjustRightInd w:val="0"/>
              <w:snapToGrid w:val="0"/>
              <w:spacing w:line="360" w:lineRule="exact"/>
              <w:jc w:val="center"/>
              <w:rPr>
                <w:rFonts w:eastAsia="仿宋" w:cs="Times New Roman"/>
                <w:color w:val="000000"/>
                <w:kern w:val="0"/>
                <w:sz w:val="32"/>
                <w:szCs w:val="32"/>
              </w:rPr>
            </w:pPr>
            <w:r>
              <w:rPr>
                <w:rFonts w:eastAsia="仿宋" w:cs="Times New Roman"/>
                <w:color w:val="000000"/>
                <w:kern w:val="0"/>
                <w:sz w:val="32"/>
                <w:szCs w:val="32"/>
              </w:rPr>
              <w:t>食品安全国家标准预包装食品标签通则</w:t>
            </w:r>
          </w:p>
        </w:tc>
      </w:tr>
      <w:tr w14:paraId="26BD5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023" w:type="dxa"/>
            <w:vAlign w:val="center"/>
          </w:tcPr>
          <w:p w14:paraId="2AE01A39">
            <w:pPr>
              <w:spacing w:line="360" w:lineRule="exact"/>
              <w:jc w:val="center"/>
              <w:rPr>
                <w:rFonts w:eastAsia="仿宋" w:cs="Times New Roman"/>
                <w:color w:val="000000"/>
                <w:sz w:val="32"/>
                <w:szCs w:val="32"/>
              </w:rPr>
            </w:pPr>
            <w:r>
              <w:rPr>
                <w:rFonts w:hint="eastAsia" w:eastAsia="仿宋" w:cs="Times New Roman"/>
                <w:color w:val="000000"/>
                <w:sz w:val="32"/>
                <w:szCs w:val="32"/>
              </w:rPr>
              <w:t>9</w:t>
            </w:r>
          </w:p>
        </w:tc>
        <w:tc>
          <w:tcPr>
            <w:tcW w:w="1920" w:type="dxa"/>
            <w:vAlign w:val="center"/>
          </w:tcPr>
          <w:p w14:paraId="67134183">
            <w:pPr>
              <w:adjustRightInd w:val="0"/>
              <w:snapToGrid w:val="0"/>
              <w:spacing w:line="360" w:lineRule="exact"/>
              <w:jc w:val="center"/>
              <w:rPr>
                <w:rFonts w:eastAsia="仿宋" w:cs="Times New Roman"/>
                <w:color w:val="000000"/>
                <w:kern w:val="0"/>
                <w:sz w:val="32"/>
                <w:szCs w:val="32"/>
              </w:rPr>
            </w:pPr>
            <w:r>
              <w:rPr>
                <w:rFonts w:hint="eastAsia" w:eastAsia="仿宋" w:cs="Times New Roman"/>
                <w:color w:val="000000"/>
                <w:kern w:val="0"/>
                <w:sz w:val="32"/>
                <w:szCs w:val="32"/>
              </w:rPr>
              <w:t>/</w:t>
            </w:r>
          </w:p>
        </w:tc>
        <w:tc>
          <w:tcPr>
            <w:tcW w:w="6235" w:type="dxa"/>
            <w:vAlign w:val="center"/>
          </w:tcPr>
          <w:p w14:paraId="3E7C7AB3">
            <w:pPr>
              <w:adjustRightInd w:val="0"/>
              <w:snapToGrid w:val="0"/>
              <w:spacing w:line="360" w:lineRule="exact"/>
              <w:jc w:val="center"/>
              <w:rPr>
                <w:rFonts w:eastAsia="仿宋" w:cs="Times New Roman"/>
                <w:color w:val="000000"/>
                <w:kern w:val="0"/>
                <w:sz w:val="32"/>
                <w:szCs w:val="32"/>
              </w:rPr>
            </w:pPr>
            <w:r>
              <w:rPr>
                <w:rFonts w:hint="eastAsia" w:eastAsia="仿宋" w:cs="Times New Roman"/>
                <w:color w:val="000000"/>
                <w:kern w:val="0"/>
                <w:sz w:val="32"/>
                <w:szCs w:val="32"/>
              </w:rPr>
              <w:t>国家卫生计生委办公厅关于中链甘油三酯有关问题的复函（国卫办食品函〔2013〕514号）</w:t>
            </w:r>
          </w:p>
        </w:tc>
      </w:tr>
      <w:tr w14:paraId="42ED5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023" w:type="dxa"/>
            <w:vAlign w:val="center"/>
          </w:tcPr>
          <w:p w14:paraId="5BC056DA">
            <w:pPr>
              <w:spacing w:line="360" w:lineRule="exact"/>
              <w:jc w:val="center"/>
              <w:rPr>
                <w:rFonts w:eastAsia="仿宋" w:cs="Times New Roman"/>
                <w:color w:val="000000"/>
                <w:sz w:val="32"/>
                <w:szCs w:val="32"/>
              </w:rPr>
            </w:pPr>
            <w:r>
              <w:rPr>
                <w:rFonts w:hint="eastAsia" w:eastAsia="仿宋" w:cs="Times New Roman"/>
                <w:color w:val="000000"/>
                <w:sz w:val="32"/>
                <w:szCs w:val="32"/>
              </w:rPr>
              <w:t>10</w:t>
            </w:r>
          </w:p>
        </w:tc>
        <w:tc>
          <w:tcPr>
            <w:tcW w:w="1920" w:type="dxa"/>
            <w:vAlign w:val="center"/>
          </w:tcPr>
          <w:p w14:paraId="422DA9D2">
            <w:pPr>
              <w:adjustRightInd w:val="0"/>
              <w:snapToGrid w:val="0"/>
              <w:spacing w:line="360" w:lineRule="exact"/>
              <w:jc w:val="center"/>
              <w:rPr>
                <w:rFonts w:eastAsia="仿宋" w:cs="Times New Roman"/>
                <w:color w:val="000000"/>
                <w:kern w:val="0"/>
                <w:sz w:val="32"/>
                <w:szCs w:val="32"/>
              </w:rPr>
            </w:pPr>
            <w:r>
              <w:rPr>
                <w:rFonts w:hint="eastAsia" w:eastAsia="仿宋" w:cs="Times New Roman"/>
                <w:color w:val="000000"/>
                <w:kern w:val="0"/>
                <w:sz w:val="32"/>
                <w:szCs w:val="32"/>
              </w:rPr>
              <w:t>GB 2716</w:t>
            </w:r>
          </w:p>
        </w:tc>
        <w:tc>
          <w:tcPr>
            <w:tcW w:w="6235" w:type="dxa"/>
            <w:vAlign w:val="center"/>
          </w:tcPr>
          <w:p w14:paraId="269E379E">
            <w:pPr>
              <w:adjustRightInd w:val="0"/>
              <w:snapToGrid w:val="0"/>
              <w:spacing w:line="360" w:lineRule="exact"/>
              <w:jc w:val="center"/>
              <w:rPr>
                <w:rFonts w:eastAsia="仿宋" w:cs="Times New Roman"/>
                <w:color w:val="000000"/>
                <w:kern w:val="0"/>
                <w:sz w:val="32"/>
                <w:szCs w:val="32"/>
              </w:rPr>
            </w:pPr>
            <w:r>
              <w:rPr>
                <w:rFonts w:hint="eastAsia" w:eastAsia="仿宋" w:cs="Times New Roman"/>
                <w:color w:val="000000"/>
                <w:kern w:val="0"/>
                <w:sz w:val="32"/>
                <w:szCs w:val="32"/>
              </w:rPr>
              <w:t>食品安全国家标准 植物油</w:t>
            </w:r>
          </w:p>
        </w:tc>
      </w:tr>
      <w:tr w14:paraId="7E681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1023" w:type="dxa"/>
            <w:vAlign w:val="center"/>
          </w:tcPr>
          <w:p w14:paraId="4378BA1D">
            <w:pPr>
              <w:spacing w:line="360" w:lineRule="exact"/>
              <w:jc w:val="center"/>
              <w:rPr>
                <w:rFonts w:eastAsia="仿宋" w:cs="Times New Roman"/>
                <w:color w:val="000000"/>
                <w:sz w:val="32"/>
                <w:szCs w:val="32"/>
              </w:rPr>
            </w:pPr>
            <w:r>
              <w:rPr>
                <w:rFonts w:hint="eastAsia" w:eastAsia="仿宋" w:cs="Times New Roman"/>
                <w:color w:val="000000"/>
                <w:sz w:val="32"/>
                <w:szCs w:val="32"/>
              </w:rPr>
              <w:t>11</w:t>
            </w:r>
          </w:p>
        </w:tc>
        <w:tc>
          <w:tcPr>
            <w:tcW w:w="1920" w:type="dxa"/>
            <w:vAlign w:val="center"/>
          </w:tcPr>
          <w:p w14:paraId="47B9BAB0">
            <w:pPr>
              <w:adjustRightInd w:val="0"/>
              <w:snapToGrid w:val="0"/>
              <w:spacing w:line="360" w:lineRule="exact"/>
              <w:jc w:val="center"/>
              <w:rPr>
                <w:rFonts w:eastAsia="仿宋" w:cs="Times New Roman"/>
                <w:color w:val="000000"/>
                <w:kern w:val="0"/>
                <w:sz w:val="32"/>
                <w:szCs w:val="32"/>
              </w:rPr>
            </w:pPr>
            <w:r>
              <w:rPr>
                <w:rFonts w:eastAsia="仿宋" w:cs="Times New Roman"/>
                <w:color w:val="000000"/>
                <w:kern w:val="0"/>
                <w:sz w:val="32"/>
                <w:szCs w:val="32"/>
              </w:rPr>
              <w:t>/</w:t>
            </w:r>
          </w:p>
        </w:tc>
        <w:tc>
          <w:tcPr>
            <w:tcW w:w="6235" w:type="dxa"/>
            <w:vAlign w:val="center"/>
          </w:tcPr>
          <w:p w14:paraId="558E734F">
            <w:pPr>
              <w:adjustRightInd w:val="0"/>
              <w:snapToGrid w:val="0"/>
              <w:spacing w:line="360" w:lineRule="exact"/>
              <w:jc w:val="center"/>
              <w:rPr>
                <w:rFonts w:eastAsia="仿宋" w:cs="Times New Roman"/>
                <w:color w:val="000000"/>
                <w:kern w:val="0"/>
                <w:sz w:val="32"/>
                <w:szCs w:val="32"/>
              </w:rPr>
            </w:pPr>
            <w:r>
              <w:rPr>
                <w:rFonts w:hint="eastAsia" w:eastAsia="仿宋" w:cs="Times New Roman"/>
                <w:color w:val="000000"/>
                <w:kern w:val="0"/>
                <w:sz w:val="32"/>
                <w:szCs w:val="32"/>
              </w:rPr>
              <w:t>原料采购标准- 酯类原料 辛癸酸 采购标准</w:t>
            </w:r>
          </w:p>
        </w:tc>
      </w:tr>
      <w:tr w14:paraId="09CA0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1023" w:type="dxa"/>
            <w:vAlign w:val="center"/>
          </w:tcPr>
          <w:p w14:paraId="7D795902">
            <w:pPr>
              <w:spacing w:line="360" w:lineRule="exact"/>
              <w:jc w:val="center"/>
              <w:rPr>
                <w:rFonts w:eastAsia="仿宋" w:cs="Times New Roman"/>
                <w:color w:val="000000"/>
                <w:sz w:val="32"/>
                <w:szCs w:val="32"/>
              </w:rPr>
            </w:pPr>
            <w:r>
              <w:rPr>
                <w:rFonts w:hint="eastAsia" w:eastAsia="仿宋" w:cs="Times New Roman"/>
                <w:color w:val="000000"/>
                <w:sz w:val="32"/>
                <w:szCs w:val="32"/>
              </w:rPr>
              <w:t>12</w:t>
            </w:r>
          </w:p>
        </w:tc>
        <w:tc>
          <w:tcPr>
            <w:tcW w:w="1920" w:type="dxa"/>
            <w:vAlign w:val="center"/>
          </w:tcPr>
          <w:p w14:paraId="6479B0B9">
            <w:pPr>
              <w:adjustRightInd w:val="0"/>
              <w:snapToGrid w:val="0"/>
              <w:spacing w:line="360" w:lineRule="exact"/>
              <w:jc w:val="center"/>
              <w:rPr>
                <w:rFonts w:eastAsia="仿宋" w:cs="Times New Roman"/>
                <w:color w:val="000000"/>
                <w:kern w:val="0"/>
                <w:sz w:val="32"/>
                <w:szCs w:val="32"/>
              </w:rPr>
            </w:pPr>
            <w:r>
              <w:rPr>
                <w:rFonts w:eastAsia="仿宋" w:cs="Times New Roman"/>
                <w:color w:val="000000"/>
                <w:kern w:val="0"/>
                <w:sz w:val="32"/>
                <w:szCs w:val="32"/>
              </w:rPr>
              <w:t>/</w:t>
            </w:r>
          </w:p>
        </w:tc>
        <w:tc>
          <w:tcPr>
            <w:tcW w:w="6235" w:type="dxa"/>
            <w:vAlign w:val="center"/>
          </w:tcPr>
          <w:p w14:paraId="5B8CF827">
            <w:pPr>
              <w:adjustRightInd w:val="0"/>
              <w:snapToGrid w:val="0"/>
              <w:spacing w:line="360" w:lineRule="exact"/>
              <w:jc w:val="center"/>
              <w:rPr>
                <w:rFonts w:eastAsia="仿宋" w:cs="Times New Roman"/>
                <w:color w:val="000000"/>
                <w:sz w:val="32"/>
                <w:szCs w:val="32"/>
              </w:rPr>
            </w:pPr>
            <w:r>
              <w:rPr>
                <w:rFonts w:hint="eastAsia" w:eastAsia="仿宋" w:cs="Times New Roman"/>
                <w:color w:val="000000"/>
                <w:kern w:val="0"/>
                <w:sz w:val="32"/>
                <w:szCs w:val="32"/>
              </w:rPr>
              <w:t>原料验收标准- 酯类原料 辛癸酸 验收标准</w:t>
            </w:r>
          </w:p>
        </w:tc>
      </w:tr>
      <w:tr w14:paraId="26118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023" w:type="dxa"/>
            <w:vAlign w:val="center"/>
          </w:tcPr>
          <w:p w14:paraId="27B5AB71">
            <w:pPr>
              <w:spacing w:line="360" w:lineRule="exact"/>
              <w:jc w:val="center"/>
              <w:rPr>
                <w:rFonts w:eastAsia="仿宋" w:cs="Times New Roman"/>
                <w:color w:val="000000"/>
                <w:sz w:val="32"/>
                <w:szCs w:val="32"/>
              </w:rPr>
            </w:pPr>
            <w:r>
              <w:rPr>
                <w:rFonts w:hint="eastAsia" w:eastAsia="仿宋" w:cs="Times New Roman"/>
                <w:color w:val="000000"/>
                <w:sz w:val="32"/>
                <w:szCs w:val="32"/>
              </w:rPr>
              <w:t>13</w:t>
            </w:r>
          </w:p>
        </w:tc>
        <w:tc>
          <w:tcPr>
            <w:tcW w:w="1920" w:type="dxa"/>
            <w:vAlign w:val="center"/>
          </w:tcPr>
          <w:p w14:paraId="52C72A2D">
            <w:pPr>
              <w:adjustRightInd w:val="0"/>
              <w:snapToGrid w:val="0"/>
              <w:spacing w:line="360" w:lineRule="exact"/>
              <w:jc w:val="center"/>
              <w:rPr>
                <w:rFonts w:eastAsia="仿宋" w:cs="Times New Roman"/>
                <w:color w:val="000000"/>
                <w:sz w:val="32"/>
                <w:szCs w:val="32"/>
              </w:rPr>
            </w:pPr>
            <w:r>
              <w:rPr>
                <w:rFonts w:hint="eastAsia" w:eastAsia="仿宋" w:cs="Times New Roman"/>
                <w:color w:val="000000"/>
                <w:kern w:val="0"/>
                <w:sz w:val="32"/>
                <w:szCs w:val="32"/>
              </w:rPr>
              <w:t>/</w:t>
            </w:r>
          </w:p>
        </w:tc>
        <w:tc>
          <w:tcPr>
            <w:tcW w:w="6235" w:type="dxa"/>
            <w:vAlign w:val="center"/>
          </w:tcPr>
          <w:p w14:paraId="0FF5F449">
            <w:pPr>
              <w:adjustRightInd w:val="0"/>
              <w:snapToGrid w:val="0"/>
              <w:spacing w:line="360" w:lineRule="exact"/>
              <w:jc w:val="center"/>
              <w:rPr>
                <w:rFonts w:eastAsia="仿宋" w:cs="Times New Roman"/>
                <w:color w:val="000000"/>
                <w:sz w:val="32"/>
                <w:szCs w:val="32"/>
              </w:rPr>
            </w:pPr>
            <w:r>
              <w:rPr>
                <w:rFonts w:hint="eastAsia" w:eastAsia="仿宋" w:cs="Times New Roman"/>
                <w:color w:val="000000"/>
                <w:sz w:val="32"/>
                <w:szCs w:val="32"/>
              </w:rPr>
              <w:t>经卫健部门备案符合要求的企业标准</w:t>
            </w:r>
          </w:p>
        </w:tc>
      </w:tr>
      <w:tr w14:paraId="4114B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23" w:type="dxa"/>
            <w:vAlign w:val="center"/>
          </w:tcPr>
          <w:p w14:paraId="64040E46">
            <w:pPr>
              <w:spacing w:line="360" w:lineRule="exact"/>
              <w:jc w:val="center"/>
              <w:rPr>
                <w:rFonts w:eastAsia="仿宋" w:cs="Times New Roman"/>
                <w:color w:val="000000"/>
                <w:sz w:val="32"/>
                <w:szCs w:val="32"/>
              </w:rPr>
            </w:pPr>
            <w:r>
              <w:rPr>
                <w:rFonts w:hint="eastAsia" w:eastAsia="仿宋" w:cs="Times New Roman"/>
                <w:color w:val="000000"/>
                <w:sz w:val="32"/>
                <w:szCs w:val="32"/>
              </w:rPr>
              <w:t>14</w:t>
            </w:r>
          </w:p>
        </w:tc>
        <w:tc>
          <w:tcPr>
            <w:tcW w:w="1920" w:type="dxa"/>
            <w:vAlign w:val="center"/>
          </w:tcPr>
          <w:p w14:paraId="0AA48D6B">
            <w:pPr>
              <w:adjustRightInd w:val="0"/>
              <w:snapToGrid w:val="0"/>
              <w:spacing w:line="360" w:lineRule="exact"/>
              <w:jc w:val="center"/>
              <w:rPr>
                <w:rFonts w:eastAsia="仿宋" w:cs="Times New Roman"/>
                <w:color w:val="000000"/>
                <w:kern w:val="0"/>
                <w:sz w:val="32"/>
                <w:szCs w:val="32"/>
              </w:rPr>
            </w:pPr>
            <w:r>
              <w:rPr>
                <w:rFonts w:hint="eastAsia" w:eastAsia="仿宋" w:cs="Times New Roman"/>
                <w:color w:val="000000"/>
                <w:kern w:val="0"/>
                <w:sz w:val="32"/>
                <w:szCs w:val="32"/>
              </w:rPr>
              <w:t>/</w:t>
            </w:r>
          </w:p>
        </w:tc>
        <w:tc>
          <w:tcPr>
            <w:tcW w:w="6235" w:type="dxa"/>
            <w:vAlign w:val="center"/>
          </w:tcPr>
          <w:p w14:paraId="65D1EA41">
            <w:pPr>
              <w:adjustRightInd w:val="0"/>
              <w:snapToGrid w:val="0"/>
              <w:spacing w:line="360" w:lineRule="exact"/>
              <w:jc w:val="center"/>
              <w:rPr>
                <w:rFonts w:eastAsia="仿宋" w:cs="Times New Roman"/>
                <w:color w:val="000000"/>
                <w:sz w:val="32"/>
                <w:szCs w:val="32"/>
              </w:rPr>
            </w:pPr>
            <w:r>
              <w:rPr>
                <w:rFonts w:hint="eastAsia" w:eastAsia="仿宋" w:cs="Times New Roman"/>
                <w:color w:val="000000"/>
                <w:sz w:val="32"/>
                <w:szCs w:val="32"/>
              </w:rPr>
              <w:t>《合格供方名录》</w:t>
            </w:r>
          </w:p>
        </w:tc>
      </w:tr>
    </w:tbl>
    <w:p w14:paraId="6D204BCE">
      <w:pPr>
        <w:pStyle w:val="8"/>
        <w:rPr>
          <w:rFonts w:hint="default"/>
        </w:rPr>
      </w:pPr>
    </w:p>
    <w:p w14:paraId="434807E5">
      <w:pPr>
        <w:keepNext w:val="0"/>
        <w:keepLines w:val="0"/>
        <w:pageBreakBefore w:val="0"/>
        <w:widowControl w:val="0"/>
        <w:kinsoku/>
        <w:wordWrap/>
        <w:overflowPunct/>
        <w:topLinePunct w:val="0"/>
        <w:autoSpaceDE/>
        <w:autoSpaceDN/>
        <w:bidi w:val="0"/>
        <w:spacing w:line="560" w:lineRule="exact"/>
        <w:textAlignment w:val="auto"/>
        <w:rPr>
          <w:rFonts w:eastAsia="仿宋" w:cs="Times New Roman"/>
          <w:sz w:val="32"/>
          <w:szCs w:val="32"/>
        </w:rPr>
      </w:pPr>
      <w:bookmarkStart w:id="4" w:name="_GoBack"/>
      <w:bookmarkEnd w:id="4"/>
    </w:p>
    <w:p w14:paraId="36E32A8D">
      <w:pPr>
        <w:keepLines/>
        <w:adjustRightInd w:val="0"/>
        <w:snapToGrid w:val="0"/>
        <w:spacing w:line="660" w:lineRule="exact"/>
        <w:jc w:val="left"/>
        <w:outlineLvl w:val="0"/>
        <w:rPr>
          <w:rFonts w:hint="eastAsia" w:ascii="仿宋" w:hAnsi="仿宋" w:eastAsia="仿宋" w:cs="仿宋"/>
          <w:bCs/>
          <w:sz w:val="30"/>
          <w:szCs w:val="30"/>
          <w:highlight w:val="yellow"/>
        </w:rPr>
      </w:pPr>
    </w:p>
    <w:sectPr>
      <w:footerReference r:id="rId3" w:type="default"/>
      <w:pgSz w:w="11906" w:h="16838"/>
      <w:pgMar w:top="2098" w:right="1474" w:bottom="1984" w:left="1587" w:header="851" w:footer="992" w:gutter="0"/>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BAB513">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A1A0CD">
                          <w:pPr>
                            <w:pStyle w:val="10"/>
                            <w:rPr>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5A1A0CD">
                    <w:pPr>
                      <w:pStyle w:val="10"/>
                      <w:rPr>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33A8A2"/>
    <w:multiLevelType w:val="multilevel"/>
    <w:tmpl w:val="8A33A8A2"/>
    <w:lvl w:ilvl="0" w:tentative="0">
      <w:start w:val="1"/>
      <w:numFmt w:val="decimal"/>
      <w:pStyle w:val="2"/>
      <w:lvlText w:val="%1."/>
      <w:lvlJc w:val="left"/>
      <w:pPr>
        <w:tabs>
          <w:tab w:val="left" w:pos="425"/>
        </w:tabs>
        <w:ind w:left="425" w:hanging="425"/>
      </w:pPr>
      <w:rPr>
        <w:rFonts w:hint="default" w:ascii="Times New Roman" w:hAnsi="Times New Roman" w:eastAsia="宋体" w:cs="Times New Roman"/>
        <w:b/>
        <w:bCs/>
        <w:sz w:val="24"/>
        <w:szCs w:val="24"/>
      </w:rPr>
    </w:lvl>
    <w:lvl w:ilvl="1" w:tentative="0">
      <w:start w:val="1"/>
      <w:numFmt w:val="decimal"/>
      <w:pStyle w:val="3"/>
      <w:lvlText w:val="%1.%2."/>
      <w:lvlJc w:val="left"/>
      <w:pPr>
        <w:tabs>
          <w:tab w:val="left" w:pos="992"/>
        </w:tabs>
        <w:ind w:left="992" w:hanging="567"/>
      </w:pPr>
      <w:rPr>
        <w:rFonts w:hint="default" w:ascii="Times New Roman" w:hAnsi="Times New Roman" w:eastAsia="宋体" w:cs="Times New Roman"/>
        <w:sz w:val="24"/>
        <w:szCs w:val="24"/>
      </w:rPr>
    </w:lvl>
    <w:lvl w:ilvl="2" w:tentative="0">
      <w:start w:val="1"/>
      <w:numFmt w:val="decimal"/>
      <w:pStyle w:val="4"/>
      <w:lvlText w:val="%1.%2.%3."/>
      <w:lvlJc w:val="left"/>
      <w:pPr>
        <w:tabs>
          <w:tab w:val="left" w:pos="1508"/>
        </w:tabs>
        <w:ind w:left="1508" w:hanging="709"/>
      </w:pPr>
      <w:rPr>
        <w:rFonts w:hint="default" w:ascii="Times New Roman" w:hAnsi="Times New Roman" w:eastAsia="宋体" w:cs="Times New Roman"/>
        <w:sz w:val="24"/>
        <w:szCs w:val="24"/>
      </w:rPr>
    </w:lvl>
    <w:lvl w:ilvl="3" w:tentative="0">
      <w:start w:val="1"/>
      <w:numFmt w:val="decimal"/>
      <w:pStyle w:val="5"/>
      <w:lvlText w:val="%1.%2.%3.%4."/>
      <w:lvlJc w:val="left"/>
      <w:pPr>
        <w:tabs>
          <w:tab w:val="left" w:pos="2052"/>
        </w:tabs>
        <w:ind w:left="2052" w:hanging="918"/>
      </w:pPr>
      <w:rPr>
        <w:rFonts w:hint="default" w:ascii="Times New Roman" w:hAnsi="Times New Roman" w:eastAsia="宋体" w:cs="Times New Roman"/>
        <w:sz w:val="24"/>
        <w:szCs w:val="24"/>
      </w:r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1">
    <w:nsid w:val="E5613FF1"/>
    <w:multiLevelType w:val="multilevel"/>
    <w:tmpl w:val="E5613FF1"/>
    <w:lvl w:ilvl="0" w:tentative="0">
      <w:start w:val="1"/>
      <w:numFmt w:val="decimal"/>
      <w:lvlText w:val="%1."/>
      <w:lvlJc w:val="left"/>
      <w:pPr>
        <w:tabs>
          <w:tab w:val="left" w:pos="312"/>
        </w:tabs>
        <w:ind w:left="312" w:hanging="312"/>
      </w:pPr>
      <w:rPr>
        <w:rFonts w:hint="default" w:ascii="Times New Roman" w:hAnsi="Times New Roman" w:cs="Times New Roman"/>
        <w:b/>
        <w:bCs w:val="0"/>
        <w:i w:val="0"/>
        <w:iCs w:val="0"/>
        <w:caps w:val="0"/>
        <w:strike w:val="0"/>
        <w:dstrike w:val="0"/>
        <w:vanish w:val="0"/>
        <w:color w:val="000000"/>
        <w:spacing w:val="0"/>
        <w:position w:val="0"/>
        <w:sz w:val="24"/>
        <w:szCs w:val="24"/>
        <w:u w:val="none"/>
        <w:vertAlign w:val="baseline"/>
        <w14:shadow w14:blurRad="0" w14:dist="0" w14:dir="0" w14:sx="0" w14:sy="0" w14:kx="0" w14:ky="0" w14:algn="none">
          <w14:srgbClr w14:val="000000"/>
        </w14:shadow>
      </w:rPr>
    </w:lvl>
    <w:lvl w:ilvl="1" w:tentative="0">
      <w:start w:val="1"/>
      <w:numFmt w:val="decimal"/>
      <w:pStyle w:val="23"/>
      <w:lvlText w:val="%1.%2."/>
      <w:lvlJc w:val="left"/>
      <w:pPr>
        <w:tabs>
          <w:tab w:val="left" w:pos="822"/>
        </w:tabs>
        <w:ind w:left="822" w:hanging="510"/>
      </w:pPr>
      <w:rPr>
        <w:rFonts w:hint="default" w:ascii="Times New Roman" w:hAnsi="Times New Roman" w:cs="Times New Roman"/>
        <w:b w:val="0"/>
        <w:bCs w:val="0"/>
        <w:i w:val="0"/>
        <w:iCs w:val="0"/>
        <w:caps w:val="0"/>
        <w:smallCaps w:val="0"/>
        <w:strike w:val="0"/>
        <w:dstrike w:val="0"/>
        <w:vanish w:val="0"/>
        <w:color w:val="000000"/>
        <w:spacing w:val="0"/>
        <w:position w:val="0"/>
        <w:sz w:val="24"/>
        <w:szCs w:val="24"/>
        <w:u w:val="none"/>
        <w:vertAlign w:val="baseline"/>
        <w14:shadow w14:blurRad="0" w14:dist="0" w14:dir="0" w14:sx="0" w14:sy="0" w14:kx="0" w14:ky="0" w14:algn="none">
          <w14:srgbClr w14:val="000000"/>
        </w14:shadow>
      </w:rPr>
    </w:lvl>
    <w:lvl w:ilvl="2" w:tentative="0">
      <w:start w:val="1"/>
      <w:numFmt w:val="decimal"/>
      <w:pStyle w:val="24"/>
      <w:lvlText w:val="%1.%2.%3."/>
      <w:lvlJc w:val="left"/>
      <w:pPr>
        <w:tabs>
          <w:tab w:val="left" w:pos="1531"/>
        </w:tabs>
        <w:ind w:left="1531" w:hanging="709"/>
      </w:pPr>
      <w:rPr>
        <w:rFonts w:hint="default" w:ascii="Times New Roman" w:hAnsi="Times New Roman" w:cs="Times New Roman"/>
        <w:b w:val="0"/>
        <w:sz w:val="24"/>
        <w:szCs w:val="24"/>
      </w:rPr>
    </w:lvl>
    <w:lvl w:ilvl="3" w:tentative="0">
      <w:start w:val="1"/>
      <w:numFmt w:val="decimal"/>
      <w:lvlText w:val="%1.%2.%3.%4."/>
      <w:lvlJc w:val="left"/>
      <w:pPr>
        <w:tabs>
          <w:tab w:val="left" w:pos="2381"/>
        </w:tabs>
        <w:ind w:left="2381" w:hanging="113"/>
      </w:pPr>
      <w:rPr>
        <w:rFonts w:hint="default"/>
        <w:sz w:val="24"/>
        <w:szCs w:val="24"/>
      </w:rPr>
    </w:lvl>
    <w:lvl w:ilvl="4" w:tentative="0">
      <w:start w:val="1"/>
      <w:numFmt w:val="decimal"/>
      <w:lvlText w:val="%1.%2.%3.%4.%5."/>
      <w:lvlJc w:val="left"/>
      <w:pPr>
        <w:tabs>
          <w:tab w:val="left" w:pos="0"/>
        </w:tabs>
        <w:ind w:left="3540" w:hanging="708"/>
      </w:pPr>
      <w:rPr>
        <w:rFonts w:hint="default"/>
      </w:rPr>
    </w:lvl>
    <w:lvl w:ilvl="5" w:tentative="0">
      <w:start w:val="1"/>
      <w:numFmt w:val="decimal"/>
      <w:lvlText w:val="%1.%2.%3.%4.%5.%6."/>
      <w:lvlJc w:val="left"/>
      <w:pPr>
        <w:tabs>
          <w:tab w:val="left" w:pos="0"/>
        </w:tabs>
        <w:ind w:left="4248" w:hanging="708"/>
      </w:pPr>
      <w:rPr>
        <w:rFonts w:hint="default"/>
      </w:rPr>
    </w:lvl>
    <w:lvl w:ilvl="6" w:tentative="0">
      <w:start w:val="1"/>
      <w:numFmt w:val="decimal"/>
      <w:lvlText w:val="%1.%2.%3.%4.%5.%6.%7."/>
      <w:lvlJc w:val="left"/>
      <w:pPr>
        <w:tabs>
          <w:tab w:val="left" w:pos="0"/>
        </w:tabs>
        <w:ind w:left="4956" w:hanging="708"/>
      </w:pPr>
      <w:rPr>
        <w:rFonts w:hint="default"/>
      </w:rPr>
    </w:lvl>
    <w:lvl w:ilvl="7" w:tentative="0">
      <w:start w:val="1"/>
      <w:numFmt w:val="decimal"/>
      <w:lvlText w:val="%1.%2.%3.%4.%5.%6.%7.%8."/>
      <w:lvlJc w:val="left"/>
      <w:pPr>
        <w:tabs>
          <w:tab w:val="left" w:pos="0"/>
        </w:tabs>
        <w:ind w:left="5664" w:hanging="708"/>
      </w:pPr>
      <w:rPr>
        <w:rFonts w:hint="default"/>
      </w:rPr>
    </w:lvl>
    <w:lvl w:ilvl="8" w:tentative="0">
      <w:start w:val="1"/>
      <w:numFmt w:val="decimal"/>
      <w:lvlText w:val="%1.%2.%3.%4.%5.%6.%7.%8.%9."/>
      <w:lvlJc w:val="left"/>
      <w:pPr>
        <w:tabs>
          <w:tab w:val="left" w:pos="0"/>
        </w:tabs>
        <w:ind w:left="6372" w:hanging="708"/>
      </w:pPr>
      <w:rPr>
        <w:rFonts w:hint="default"/>
      </w:rPr>
    </w:lvl>
  </w:abstractNum>
  <w:abstractNum w:abstractNumId="2">
    <w:nsid w:val="2AEF4B95"/>
    <w:multiLevelType w:val="multilevel"/>
    <w:tmpl w:val="2AEF4B95"/>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42E58"/>
    <w:rsid w:val="0004486F"/>
    <w:rsid w:val="000B0C28"/>
    <w:rsid w:val="000D06B0"/>
    <w:rsid w:val="000F328E"/>
    <w:rsid w:val="001100C2"/>
    <w:rsid w:val="00110B57"/>
    <w:rsid w:val="001311DE"/>
    <w:rsid w:val="00132082"/>
    <w:rsid w:val="001635BD"/>
    <w:rsid w:val="00172A27"/>
    <w:rsid w:val="00197628"/>
    <w:rsid w:val="001A4594"/>
    <w:rsid w:val="001B2718"/>
    <w:rsid w:val="001D702E"/>
    <w:rsid w:val="001D7C1B"/>
    <w:rsid w:val="00230993"/>
    <w:rsid w:val="002537B0"/>
    <w:rsid w:val="00255951"/>
    <w:rsid w:val="002811A7"/>
    <w:rsid w:val="00311204"/>
    <w:rsid w:val="00311AAE"/>
    <w:rsid w:val="003200AA"/>
    <w:rsid w:val="00334459"/>
    <w:rsid w:val="00345189"/>
    <w:rsid w:val="00355CEE"/>
    <w:rsid w:val="00357D68"/>
    <w:rsid w:val="00363A74"/>
    <w:rsid w:val="00384939"/>
    <w:rsid w:val="00385E28"/>
    <w:rsid w:val="00386B9F"/>
    <w:rsid w:val="00392EB2"/>
    <w:rsid w:val="003B1469"/>
    <w:rsid w:val="00426BD3"/>
    <w:rsid w:val="00432AD6"/>
    <w:rsid w:val="00445093"/>
    <w:rsid w:val="00486E46"/>
    <w:rsid w:val="004A273F"/>
    <w:rsid w:val="004B44E9"/>
    <w:rsid w:val="004D6AB9"/>
    <w:rsid w:val="004F5478"/>
    <w:rsid w:val="0050028D"/>
    <w:rsid w:val="00511DFB"/>
    <w:rsid w:val="005469DD"/>
    <w:rsid w:val="005A054E"/>
    <w:rsid w:val="0060350A"/>
    <w:rsid w:val="00615190"/>
    <w:rsid w:val="006409F1"/>
    <w:rsid w:val="00656244"/>
    <w:rsid w:val="00674F1F"/>
    <w:rsid w:val="0068166B"/>
    <w:rsid w:val="006B5312"/>
    <w:rsid w:val="006C3D3F"/>
    <w:rsid w:val="006E3663"/>
    <w:rsid w:val="0071294B"/>
    <w:rsid w:val="00720944"/>
    <w:rsid w:val="00736A8D"/>
    <w:rsid w:val="00770A34"/>
    <w:rsid w:val="00780766"/>
    <w:rsid w:val="00794ABB"/>
    <w:rsid w:val="007A0B86"/>
    <w:rsid w:val="007B58C7"/>
    <w:rsid w:val="007F66FC"/>
    <w:rsid w:val="00856126"/>
    <w:rsid w:val="00864A80"/>
    <w:rsid w:val="00874753"/>
    <w:rsid w:val="008C2717"/>
    <w:rsid w:val="008F12E4"/>
    <w:rsid w:val="00904194"/>
    <w:rsid w:val="0095021D"/>
    <w:rsid w:val="00956B89"/>
    <w:rsid w:val="0096038B"/>
    <w:rsid w:val="00964652"/>
    <w:rsid w:val="00A00506"/>
    <w:rsid w:val="00A611A8"/>
    <w:rsid w:val="00AA6E3D"/>
    <w:rsid w:val="00B841D7"/>
    <w:rsid w:val="00B932E0"/>
    <w:rsid w:val="00C1727A"/>
    <w:rsid w:val="00CD0994"/>
    <w:rsid w:val="00CE3E80"/>
    <w:rsid w:val="00DA2CA5"/>
    <w:rsid w:val="00DB4737"/>
    <w:rsid w:val="00DF0290"/>
    <w:rsid w:val="00E02D4A"/>
    <w:rsid w:val="00E214E1"/>
    <w:rsid w:val="00E4058B"/>
    <w:rsid w:val="00E67DBD"/>
    <w:rsid w:val="00ED51B7"/>
    <w:rsid w:val="00EF1464"/>
    <w:rsid w:val="00EF6200"/>
    <w:rsid w:val="00FC4678"/>
    <w:rsid w:val="00FC6EEC"/>
    <w:rsid w:val="00FD3D94"/>
    <w:rsid w:val="04ED23F9"/>
    <w:rsid w:val="062077BC"/>
    <w:rsid w:val="068C5C42"/>
    <w:rsid w:val="07573196"/>
    <w:rsid w:val="07B42F31"/>
    <w:rsid w:val="085876AF"/>
    <w:rsid w:val="08E151DC"/>
    <w:rsid w:val="09120680"/>
    <w:rsid w:val="092403B3"/>
    <w:rsid w:val="097377F9"/>
    <w:rsid w:val="0A24003A"/>
    <w:rsid w:val="0A994484"/>
    <w:rsid w:val="0B753C49"/>
    <w:rsid w:val="0C516FAB"/>
    <w:rsid w:val="0E0C355A"/>
    <w:rsid w:val="0FDD4154"/>
    <w:rsid w:val="0FF254E4"/>
    <w:rsid w:val="10923E54"/>
    <w:rsid w:val="116D114E"/>
    <w:rsid w:val="12266F4A"/>
    <w:rsid w:val="122D02D9"/>
    <w:rsid w:val="147D6BCA"/>
    <w:rsid w:val="149A3C1F"/>
    <w:rsid w:val="14F43330"/>
    <w:rsid w:val="15515BAF"/>
    <w:rsid w:val="156D16E9"/>
    <w:rsid w:val="1767428D"/>
    <w:rsid w:val="17C15497"/>
    <w:rsid w:val="1BA24EA3"/>
    <w:rsid w:val="1BC07349"/>
    <w:rsid w:val="1BC97DB6"/>
    <w:rsid w:val="1D1E3D2E"/>
    <w:rsid w:val="1E7654EC"/>
    <w:rsid w:val="1F903C55"/>
    <w:rsid w:val="20350095"/>
    <w:rsid w:val="207043AD"/>
    <w:rsid w:val="20B45F0D"/>
    <w:rsid w:val="244E1F4C"/>
    <w:rsid w:val="25207829"/>
    <w:rsid w:val="26E95604"/>
    <w:rsid w:val="296C2E8C"/>
    <w:rsid w:val="2ABA7B57"/>
    <w:rsid w:val="2AF14141"/>
    <w:rsid w:val="2CA10DF4"/>
    <w:rsid w:val="2D9E60D7"/>
    <w:rsid w:val="2EF04710"/>
    <w:rsid w:val="2FBC6288"/>
    <w:rsid w:val="307B44AD"/>
    <w:rsid w:val="335214F5"/>
    <w:rsid w:val="33B75AAF"/>
    <w:rsid w:val="33DC1707"/>
    <w:rsid w:val="33EE6A0C"/>
    <w:rsid w:val="348222AE"/>
    <w:rsid w:val="349C0688"/>
    <w:rsid w:val="34AE4E51"/>
    <w:rsid w:val="35150A2C"/>
    <w:rsid w:val="357304D5"/>
    <w:rsid w:val="35D95EFE"/>
    <w:rsid w:val="36483C84"/>
    <w:rsid w:val="37040D59"/>
    <w:rsid w:val="383733B0"/>
    <w:rsid w:val="39190DAC"/>
    <w:rsid w:val="397B00DE"/>
    <w:rsid w:val="39A85760"/>
    <w:rsid w:val="3BB6283D"/>
    <w:rsid w:val="3BCC3E0F"/>
    <w:rsid w:val="3CD805DB"/>
    <w:rsid w:val="3CE27B73"/>
    <w:rsid w:val="3D9D63FD"/>
    <w:rsid w:val="3E7762B4"/>
    <w:rsid w:val="3EB06F8E"/>
    <w:rsid w:val="3F0D09C6"/>
    <w:rsid w:val="3FC90AA5"/>
    <w:rsid w:val="400E4D8B"/>
    <w:rsid w:val="40541E71"/>
    <w:rsid w:val="42246753"/>
    <w:rsid w:val="43C466DC"/>
    <w:rsid w:val="443D34B1"/>
    <w:rsid w:val="4476157F"/>
    <w:rsid w:val="44BD4F9C"/>
    <w:rsid w:val="464B69A4"/>
    <w:rsid w:val="47A619B8"/>
    <w:rsid w:val="48442EC6"/>
    <w:rsid w:val="49486D82"/>
    <w:rsid w:val="49761F0E"/>
    <w:rsid w:val="4BBE7A57"/>
    <w:rsid w:val="4C897913"/>
    <w:rsid w:val="4C8D39B4"/>
    <w:rsid w:val="4CB27C4D"/>
    <w:rsid w:val="4CC92BFC"/>
    <w:rsid w:val="4D2770F7"/>
    <w:rsid w:val="4E5B34FC"/>
    <w:rsid w:val="4EEB7E45"/>
    <w:rsid w:val="4F754A92"/>
    <w:rsid w:val="51013AAB"/>
    <w:rsid w:val="510559E3"/>
    <w:rsid w:val="52304DFC"/>
    <w:rsid w:val="52614E59"/>
    <w:rsid w:val="5277467D"/>
    <w:rsid w:val="52E95FFA"/>
    <w:rsid w:val="53816254"/>
    <w:rsid w:val="53A43E72"/>
    <w:rsid w:val="548818AE"/>
    <w:rsid w:val="55FD3626"/>
    <w:rsid w:val="56222B52"/>
    <w:rsid w:val="56505911"/>
    <w:rsid w:val="56F4234E"/>
    <w:rsid w:val="57D52571"/>
    <w:rsid w:val="582C415B"/>
    <w:rsid w:val="584D44B7"/>
    <w:rsid w:val="59AB3753"/>
    <w:rsid w:val="5A1A1165"/>
    <w:rsid w:val="5A7140A7"/>
    <w:rsid w:val="5A90452E"/>
    <w:rsid w:val="5CF35248"/>
    <w:rsid w:val="5D5C4B9B"/>
    <w:rsid w:val="5E783C56"/>
    <w:rsid w:val="5F585836"/>
    <w:rsid w:val="602B0B20"/>
    <w:rsid w:val="60C14974"/>
    <w:rsid w:val="60EA6962"/>
    <w:rsid w:val="6223037D"/>
    <w:rsid w:val="62270EB6"/>
    <w:rsid w:val="63532FE5"/>
    <w:rsid w:val="63A76053"/>
    <w:rsid w:val="63ED7CA5"/>
    <w:rsid w:val="66BA1190"/>
    <w:rsid w:val="66BE7B0F"/>
    <w:rsid w:val="67876CB8"/>
    <w:rsid w:val="67E14CE4"/>
    <w:rsid w:val="67F56318"/>
    <w:rsid w:val="689B7DDD"/>
    <w:rsid w:val="68E50682"/>
    <w:rsid w:val="6917406C"/>
    <w:rsid w:val="699872D8"/>
    <w:rsid w:val="6CF83365"/>
    <w:rsid w:val="6E397BB5"/>
    <w:rsid w:val="6F92461C"/>
    <w:rsid w:val="708A5D73"/>
    <w:rsid w:val="729B7FDE"/>
    <w:rsid w:val="72EF7A7C"/>
    <w:rsid w:val="743C0E2B"/>
    <w:rsid w:val="75084A59"/>
    <w:rsid w:val="781754AF"/>
    <w:rsid w:val="791F2B45"/>
    <w:rsid w:val="797A667D"/>
    <w:rsid w:val="79EE2BC7"/>
    <w:rsid w:val="7A94376E"/>
    <w:rsid w:val="7B5F3022"/>
    <w:rsid w:val="7C94059E"/>
    <w:rsid w:val="7F9E53CB"/>
    <w:rsid w:val="7FA306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heme="minorBidi"/>
      <w:kern w:val="2"/>
      <w:sz w:val="24"/>
      <w:szCs w:val="24"/>
      <w:lang w:val="en-US" w:eastAsia="zh-CN" w:bidi="ar-SA"/>
    </w:rPr>
  </w:style>
  <w:style w:type="paragraph" w:styleId="2">
    <w:name w:val="heading 1"/>
    <w:basedOn w:val="1"/>
    <w:next w:val="1"/>
    <w:link w:val="20"/>
    <w:qFormat/>
    <w:uiPriority w:val="0"/>
    <w:pPr>
      <w:numPr>
        <w:ilvl w:val="0"/>
        <w:numId w:val="1"/>
      </w:numPr>
      <w:tabs>
        <w:tab w:val="left" w:pos="312"/>
      </w:tabs>
      <w:spacing w:before="30" w:beforeLines="30" w:after="30" w:afterLines="30" w:line="360" w:lineRule="auto"/>
      <w:outlineLvl w:val="0"/>
    </w:pPr>
    <w:rPr>
      <w:rFonts w:cs="Times New Roman"/>
      <w:b/>
      <w:bCs/>
    </w:rPr>
  </w:style>
  <w:style w:type="paragraph" w:styleId="3">
    <w:name w:val="heading 2"/>
    <w:basedOn w:val="1"/>
    <w:next w:val="1"/>
    <w:link w:val="22"/>
    <w:semiHidden/>
    <w:unhideWhenUsed/>
    <w:qFormat/>
    <w:uiPriority w:val="0"/>
    <w:pPr>
      <w:numPr>
        <w:ilvl w:val="1"/>
        <w:numId w:val="1"/>
      </w:numPr>
      <w:spacing w:before="20" w:beforeLines="20" w:after="20" w:afterLines="20"/>
      <w:outlineLvl w:val="1"/>
    </w:pPr>
  </w:style>
  <w:style w:type="paragraph" w:styleId="4">
    <w:name w:val="heading 3"/>
    <w:basedOn w:val="1"/>
    <w:next w:val="1"/>
    <w:semiHidden/>
    <w:unhideWhenUsed/>
    <w:qFormat/>
    <w:uiPriority w:val="0"/>
    <w:pPr>
      <w:numPr>
        <w:ilvl w:val="2"/>
        <w:numId w:val="1"/>
      </w:numPr>
      <w:spacing w:before="10" w:beforeLines="10" w:after="10" w:afterLines="10"/>
      <w:outlineLvl w:val="2"/>
    </w:pPr>
  </w:style>
  <w:style w:type="paragraph" w:styleId="5">
    <w:name w:val="heading 4"/>
    <w:basedOn w:val="1"/>
    <w:next w:val="1"/>
    <w:semiHidden/>
    <w:unhideWhenUsed/>
    <w:qFormat/>
    <w:uiPriority w:val="0"/>
    <w:pPr>
      <w:numPr>
        <w:ilvl w:val="3"/>
        <w:numId w:val="1"/>
      </w:numPr>
      <w:spacing w:before="280" w:after="290" w:line="372" w:lineRule="auto"/>
      <w:outlineLvl w:val="3"/>
    </w:p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36"/>
    <w:qFormat/>
    <w:uiPriority w:val="0"/>
    <w:pPr>
      <w:jc w:val="left"/>
    </w:pPr>
  </w:style>
  <w:style w:type="paragraph" w:styleId="7">
    <w:name w:val="Body Text"/>
    <w:basedOn w:val="1"/>
    <w:next w:val="8"/>
    <w:qFormat/>
    <w:uiPriority w:val="0"/>
    <w:pPr>
      <w:spacing w:after="120"/>
    </w:pPr>
  </w:style>
  <w:style w:type="paragraph" w:styleId="8">
    <w:name w:val="Title"/>
    <w:basedOn w:val="9"/>
    <w:next w:val="1"/>
    <w:qFormat/>
    <w:uiPriority w:val="0"/>
    <w:pPr>
      <w:keepLines/>
      <w:adjustRightInd w:val="0"/>
      <w:snapToGrid w:val="0"/>
      <w:spacing w:line="660" w:lineRule="exact"/>
      <w:jc w:val="center"/>
      <w:outlineLvl w:val="0"/>
    </w:pPr>
    <w:rPr>
      <w:rFonts w:ascii="Times New Roman" w:hAnsi="Times New Roman" w:eastAsia="方正小标宋简体"/>
      <w:bCs/>
      <w:sz w:val="44"/>
      <w:szCs w:val="32"/>
    </w:rPr>
  </w:style>
  <w:style w:type="paragraph" w:styleId="9">
    <w:name w:val="Plain Text"/>
    <w:basedOn w:val="1"/>
    <w:unhideWhenUsed/>
    <w:qFormat/>
    <w:uiPriority w:val="0"/>
    <w:rPr>
      <w:rFonts w:ascii="宋体" w:hAnsi="Courier New"/>
      <w:szCs w:val="20"/>
    </w:rPr>
  </w:style>
  <w:style w:type="paragraph" w:styleId="10">
    <w:name w:val="footer"/>
    <w:basedOn w:val="1"/>
    <w:link w:val="32"/>
    <w:qFormat/>
    <w:uiPriority w:val="0"/>
    <w:pPr>
      <w:tabs>
        <w:tab w:val="center" w:pos="4153"/>
        <w:tab w:val="right" w:pos="8306"/>
      </w:tabs>
      <w:snapToGrid w:val="0"/>
      <w:jc w:val="left"/>
    </w:pPr>
    <w:rPr>
      <w:sz w:val="18"/>
      <w:szCs w:val="18"/>
    </w:rPr>
  </w:style>
  <w:style w:type="paragraph" w:styleId="11">
    <w:name w:val="header"/>
    <w:basedOn w:val="1"/>
    <w:link w:val="31"/>
    <w:qFormat/>
    <w:uiPriority w:val="0"/>
    <w:pPr>
      <w:tabs>
        <w:tab w:val="center" w:pos="4153"/>
        <w:tab w:val="right" w:pos="8306"/>
      </w:tabs>
      <w:snapToGrid w:val="0"/>
      <w:jc w:val="center"/>
    </w:pPr>
    <w:rPr>
      <w:sz w:val="18"/>
      <w:szCs w:val="18"/>
    </w:rPr>
  </w:style>
  <w:style w:type="paragraph" w:styleId="12">
    <w:name w:val="Normal (Web)"/>
    <w:basedOn w:val="1"/>
    <w:qFormat/>
    <w:uiPriority w:val="0"/>
    <w:pPr>
      <w:spacing w:beforeAutospacing="1" w:afterAutospacing="1"/>
      <w:jc w:val="left"/>
    </w:pPr>
    <w:rPr>
      <w:rFonts w:cs="Times New Roman"/>
      <w:kern w:val="0"/>
    </w:rPr>
  </w:style>
  <w:style w:type="paragraph" w:styleId="13">
    <w:name w:val="annotation subject"/>
    <w:basedOn w:val="6"/>
    <w:next w:val="6"/>
    <w:link w:val="37"/>
    <w:qFormat/>
    <w:uiPriority w:val="0"/>
    <w:rPr>
      <w:b/>
      <w:bCs/>
    </w:rPr>
  </w:style>
  <w:style w:type="character" w:styleId="16">
    <w:name w:val="Strong"/>
    <w:basedOn w:val="15"/>
    <w:qFormat/>
    <w:uiPriority w:val="0"/>
    <w:rPr>
      <w:b/>
    </w:rPr>
  </w:style>
  <w:style w:type="character" w:styleId="17">
    <w:name w:val="annotation reference"/>
    <w:basedOn w:val="15"/>
    <w:qFormat/>
    <w:uiPriority w:val="0"/>
    <w:rPr>
      <w:sz w:val="21"/>
      <w:szCs w:val="21"/>
    </w:rPr>
  </w:style>
  <w:style w:type="paragraph" w:customStyle="1" w:styleId="18">
    <w:name w:val="样式1"/>
    <w:basedOn w:val="1"/>
    <w:next w:val="7"/>
    <w:qFormat/>
    <w:uiPriority w:val="0"/>
    <w:pPr>
      <w:ind w:firstLine="602" w:firstLineChars="200"/>
    </w:pPr>
    <w:rPr>
      <w:rFonts w:ascii="仿宋" w:hAnsi="仿宋" w:eastAsia="仿宋"/>
      <w:sz w:val="30"/>
      <w:szCs w:val="30"/>
    </w:rPr>
  </w:style>
  <w:style w:type="paragraph" w:customStyle="1" w:styleId="19">
    <w:name w:val="我的正文"/>
    <w:qFormat/>
    <w:uiPriority w:val="0"/>
    <w:pPr>
      <w:ind w:firstLine="482" w:firstLineChars="200"/>
    </w:pPr>
    <w:rPr>
      <w:rFonts w:ascii="Times New Roman" w:hAnsi="Times New Roman" w:eastAsia="宋体" w:cstheme="minorBidi"/>
      <w:sz w:val="24"/>
      <w:szCs w:val="24"/>
      <w:lang w:val="en-US" w:eastAsia="zh-CN" w:bidi="ar-SA"/>
    </w:rPr>
  </w:style>
  <w:style w:type="character" w:customStyle="1" w:styleId="20">
    <w:name w:val="标题 1 字符"/>
    <w:basedOn w:val="15"/>
    <w:link w:val="2"/>
    <w:qFormat/>
    <w:uiPriority w:val="0"/>
    <w:rPr>
      <w:rFonts w:ascii="Times New Roman" w:hAnsi="Times New Roman" w:eastAsia="宋体" w:cs="Times New Roman"/>
      <w:b/>
      <w:bCs/>
      <w:kern w:val="2"/>
      <w:sz w:val="24"/>
      <w:szCs w:val="21"/>
    </w:rPr>
  </w:style>
  <w:style w:type="paragraph" w:customStyle="1" w:styleId="21">
    <w:name w:val="表格小五号"/>
    <w:basedOn w:val="7"/>
    <w:next w:val="7"/>
    <w:qFormat/>
    <w:uiPriority w:val="0"/>
    <w:pPr>
      <w:snapToGrid w:val="0"/>
      <w:spacing w:before="10" w:after="10" w:afterAutospacing="1"/>
      <w:jc w:val="center"/>
    </w:pPr>
    <w:rPr>
      <w:rFonts w:cs="Times New Roman"/>
      <w:sz w:val="18"/>
    </w:rPr>
  </w:style>
  <w:style w:type="character" w:customStyle="1" w:styleId="22">
    <w:name w:val="标题 2 字符"/>
    <w:link w:val="3"/>
    <w:qFormat/>
    <w:uiPriority w:val="0"/>
    <w:rPr>
      <w:rFonts w:ascii="Times New Roman" w:hAnsi="Times New Roman" w:eastAsia="宋体" w:cs="Times New Roman"/>
      <w:b/>
      <w:bCs/>
      <w:kern w:val="2"/>
      <w:sz w:val="24"/>
      <w:szCs w:val="24"/>
    </w:rPr>
  </w:style>
  <w:style w:type="paragraph" w:customStyle="1" w:styleId="23">
    <w:name w:val="目录2"/>
    <w:basedOn w:val="1"/>
    <w:qFormat/>
    <w:uiPriority w:val="0"/>
    <w:pPr>
      <w:numPr>
        <w:ilvl w:val="1"/>
        <w:numId w:val="2"/>
      </w:numPr>
    </w:pPr>
  </w:style>
  <w:style w:type="paragraph" w:customStyle="1" w:styleId="24">
    <w:name w:val="目录3"/>
    <w:basedOn w:val="1"/>
    <w:qFormat/>
    <w:uiPriority w:val="0"/>
    <w:pPr>
      <w:numPr>
        <w:ilvl w:val="2"/>
        <w:numId w:val="2"/>
      </w:numPr>
    </w:pPr>
  </w:style>
  <w:style w:type="paragraph" w:customStyle="1" w:styleId="25">
    <w:name w:val="报告格式"/>
    <w:basedOn w:val="1"/>
    <w:qFormat/>
    <w:uiPriority w:val="0"/>
    <w:pPr>
      <w:snapToGrid w:val="0"/>
      <w:spacing w:line="360" w:lineRule="auto"/>
      <w:ind w:firstLine="800" w:firstLineChars="200"/>
    </w:pPr>
    <w:rPr>
      <w:rFonts w:eastAsia="仿宋" w:cs="Times New Roman"/>
      <w:sz w:val="28"/>
      <w:szCs w:val="28"/>
    </w:rPr>
  </w:style>
  <w:style w:type="paragraph" w:customStyle="1" w:styleId="26">
    <w:name w:val="省局缺陷报告格式"/>
    <w:basedOn w:val="1"/>
    <w:link w:val="27"/>
    <w:qFormat/>
    <w:uiPriority w:val="0"/>
    <w:pPr>
      <w:snapToGrid w:val="0"/>
      <w:spacing w:line="360" w:lineRule="auto"/>
      <w:ind w:firstLine="800" w:firstLineChars="200"/>
    </w:pPr>
    <w:rPr>
      <w:rFonts w:eastAsia="仿宋" w:cs="Times New Roman"/>
      <w:sz w:val="28"/>
      <w:szCs w:val="28"/>
    </w:rPr>
  </w:style>
  <w:style w:type="character" w:customStyle="1" w:styleId="27">
    <w:name w:val="省局缺陷报告格式 Char"/>
    <w:link w:val="26"/>
    <w:qFormat/>
    <w:uiPriority w:val="0"/>
    <w:rPr>
      <w:rFonts w:eastAsia="仿宋" w:cs="Times New Roman"/>
      <w:sz w:val="28"/>
      <w:szCs w:val="28"/>
    </w:rPr>
  </w:style>
  <w:style w:type="paragraph" w:customStyle="1" w:styleId="28">
    <w:name w:val="列出段落3"/>
    <w:basedOn w:val="1"/>
    <w:qFormat/>
    <w:uiPriority w:val="99"/>
    <w:pPr>
      <w:ind w:firstLine="420" w:firstLineChars="200"/>
    </w:pPr>
    <w:rPr>
      <w:rFonts w:cs="Calibri"/>
      <w:szCs w:val="21"/>
    </w:rPr>
  </w:style>
  <w:style w:type="paragraph" w:customStyle="1" w:styleId="29">
    <w:name w:val="表头"/>
    <w:basedOn w:val="1"/>
    <w:qFormat/>
    <w:uiPriority w:val="0"/>
    <w:pPr>
      <w:widowControl/>
      <w:spacing w:line="440" w:lineRule="exact"/>
      <w:jc w:val="center"/>
    </w:pPr>
    <w:rPr>
      <w:rFonts w:ascii="黑体" w:hAnsi="黑体" w:eastAsia="黑体"/>
      <w:b/>
      <w:bCs/>
      <w:color w:val="000000"/>
      <w:kern w:val="0"/>
      <w:sz w:val="32"/>
      <w:szCs w:val="28"/>
    </w:rPr>
  </w:style>
  <w:style w:type="paragraph" w:customStyle="1" w:styleId="30">
    <w:name w:val="修订1"/>
    <w:hidden/>
    <w:unhideWhenUsed/>
    <w:qFormat/>
    <w:uiPriority w:val="99"/>
    <w:rPr>
      <w:rFonts w:ascii="Times New Roman" w:hAnsi="Times New Roman" w:eastAsia="宋体" w:cstheme="minorBidi"/>
      <w:kern w:val="2"/>
      <w:sz w:val="24"/>
      <w:szCs w:val="24"/>
      <w:lang w:val="en-US" w:eastAsia="zh-CN" w:bidi="ar-SA"/>
    </w:rPr>
  </w:style>
  <w:style w:type="character" w:customStyle="1" w:styleId="31">
    <w:name w:val="页眉 字符"/>
    <w:basedOn w:val="15"/>
    <w:link w:val="11"/>
    <w:qFormat/>
    <w:uiPriority w:val="0"/>
    <w:rPr>
      <w:rFonts w:cstheme="minorBidi"/>
      <w:kern w:val="2"/>
      <w:sz w:val="18"/>
      <w:szCs w:val="18"/>
    </w:rPr>
  </w:style>
  <w:style w:type="character" w:customStyle="1" w:styleId="32">
    <w:name w:val="页脚 字符"/>
    <w:basedOn w:val="15"/>
    <w:link w:val="10"/>
    <w:qFormat/>
    <w:uiPriority w:val="0"/>
    <w:rPr>
      <w:rFonts w:cstheme="minorBidi"/>
      <w:kern w:val="2"/>
      <w:sz w:val="18"/>
      <w:szCs w:val="18"/>
    </w:rPr>
  </w:style>
  <w:style w:type="paragraph" w:styleId="33">
    <w:name w:val="List Paragraph"/>
    <w:basedOn w:val="1"/>
    <w:unhideWhenUsed/>
    <w:qFormat/>
    <w:uiPriority w:val="99"/>
    <w:pPr>
      <w:ind w:firstLine="420" w:firstLineChars="200"/>
    </w:pPr>
  </w:style>
  <w:style w:type="paragraph" w:customStyle="1" w:styleId="34">
    <w:name w:val="修订2"/>
    <w:hidden/>
    <w:unhideWhenUsed/>
    <w:qFormat/>
    <w:uiPriority w:val="99"/>
    <w:rPr>
      <w:rFonts w:ascii="Times New Roman" w:hAnsi="Times New Roman" w:eastAsia="宋体" w:cstheme="minorBidi"/>
      <w:kern w:val="2"/>
      <w:sz w:val="24"/>
      <w:szCs w:val="24"/>
      <w:lang w:val="en-US" w:eastAsia="zh-CN" w:bidi="ar-SA"/>
    </w:rPr>
  </w:style>
  <w:style w:type="paragraph" w:customStyle="1" w:styleId="35">
    <w:name w:val="修订3"/>
    <w:hidden/>
    <w:unhideWhenUsed/>
    <w:qFormat/>
    <w:uiPriority w:val="99"/>
    <w:rPr>
      <w:rFonts w:ascii="Times New Roman" w:hAnsi="Times New Roman" w:eastAsia="宋体" w:cstheme="minorBidi"/>
      <w:kern w:val="2"/>
      <w:sz w:val="24"/>
      <w:szCs w:val="24"/>
      <w:lang w:val="en-US" w:eastAsia="zh-CN" w:bidi="ar-SA"/>
    </w:rPr>
  </w:style>
  <w:style w:type="character" w:customStyle="1" w:styleId="36">
    <w:name w:val="批注文字 字符"/>
    <w:basedOn w:val="15"/>
    <w:link w:val="6"/>
    <w:qFormat/>
    <w:uiPriority w:val="0"/>
    <w:rPr>
      <w:rFonts w:cstheme="minorBidi"/>
      <w:kern w:val="2"/>
      <w:sz w:val="24"/>
      <w:szCs w:val="24"/>
    </w:rPr>
  </w:style>
  <w:style w:type="character" w:customStyle="1" w:styleId="37">
    <w:name w:val="批注主题 字符"/>
    <w:basedOn w:val="36"/>
    <w:link w:val="13"/>
    <w:qFormat/>
    <w:uiPriority w:val="0"/>
    <w:rPr>
      <w:rFonts w:cstheme="minorBidi"/>
      <w:b/>
      <w:bCs/>
      <w:kern w:val="2"/>
      <w:sz w:val="24"/>
      <w:szCs w:val="24"/>
    </w:rPr>
  </w:style>
  <w:style w:type="paragraph" w:customStyle="1" w:styleId="38">
    <w:name w:val="修订4"/>
    <w:hidden/>
    <w:unhideWhenUsed/>
    <w:qFormat/>
    <w:uiPriority w:val="99"/>
    <w:rPr>
      <w:rFonts w:ascii="Times New Roman" w:hAnsi="Times New Roman" w:eastAsia="宋体" w:cstheme="minorBidi"/>
      <w:kern w:val="2"/>
      <w:sz w:val="24"/>
      <w:szCs w:val="24"/>
      <w:lang w:val="en-US" w:eastAsia="zh-CN" w:bidi="ar-SA"/>
    </w:rPr>
  </w:style>
  <w:style w:type="paragraph" w:customStyle="1" w:styleId="39">
    <w:name w:val="Revision"/>
    <w:hidden/>
    <w:unhideWhenUsed/>
    <w:qFormat/>
    <w:uiPriority w:val="99"/>
    <w:rPr>
      <w:rFonts w:ascii="Times New Roman" w:hAnsi="Times New Roman" w:eastAsia="宋体" w:cstheme="minorBidi"/>
      <w:kern w:val="2"/>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SHYNDEC</Company>
  <Pages>14</Pages>
  <Words>6090</Words>
  <Characters>6151</Characters>
  <Lines>51</Lines>
  <Paragraphs>14</Paragraphs>
  <TotalTime>3</TotalTime>
  <ScaleCrop>false</ScaleCrop>
  <LinksUpToDate>false</LinksUpToDate>
  <CharactersWithSpaces>6233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2026-08-25T04:23:00Z</dcterms:created>
  <dc:creator>WU TAO</dc:creator>
  <cp:lastModifiedBy>Stephanie</cp:lastModifiedBy>
  <dcterms:modified xsi:type="dcterms:W3CDTF">2026-09-03T01:08:02Z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eyJoZGlkIjoiZjNmZjUzMTNhZjE0M2IzZDAwNDg5YjZiNDBhYTg4ZTciLCJ1c2VySWQiOiI0MjQwMjQ1NzUifQ==</vt:lpwstr>
  </property>
  <property fmtid="{D5CDD505-2E9C-101B-9397-08002B2CF9AE}" pid="4" name="ICV">
    <vt:lpwstr>DC42D8A6051F4B5889EB735CEF3DA39E_13</vt:lpwstr>
  </property>
</Properties>
</file>