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Times New Roman" w:hAnsi="Times New Roman" w:eastAsia="方正小标宋_GBK" w:cs="Times New Roman"/>
          <w:sz w:val="44"/>
          <w:szCs w:val="44"/>
        </w:rPr>
      </w:pPr>
    </w:p>
    <w:p>
      <w:pPr>
        <w:pStyle w:val="2"/>
        <w:rPr>
          <w:rFonts w:hint="eastAsia" w:ascii="Times New Roman" w:hAnsi="Times New Roman" w:eastAsia="方正小标宋_GBK" w:cs="Times New Roman"/>
          <w:sz w:val="44"/>
          <w:szCs w:val="44"/>
        </w:rPr>
      </w:pPr>
    </w:p>
    <w:p>
      <w:pPr>
        <w:rPr>
          <w:rFonts w:hint="eastAsia"/>
        </w:rPr>
      </w:pPr>
    </w:p>
    <w:p>
      <w:pPr>
        <w:spacing w:line="540" w:lineRule="exact"/>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rPr>
        <w:t>自贸试验区连云区块</w:t>
      </w:r>
      <w:r>
        <w:rPr>
          <w:rFonts w:hint="eastAsia" w:ascii="Times New Roman" w:hAnsi="Times New Roman" w:eastAsia="方正小标宋_GBK" w:cs="Times New Roman"/>
          <w:sz w:val="52"/>
          <w:szCs w:val="52"/>
          <w:lang w:eastAsia="zh-CN"/>
        </w:rPr>
        <w:t>“</w:t>
      </w:r>
      <w:r>
        <w:rPr>
          <w:rFonts w:hint="eastAsia" w:ascii="Times New Roman" w:hAnsi="Times New Roman" w:eastAsia="方正小标宋_GBK" w:cs="Times New Roman"/>
          <w:sz w:val="52"/>
          <w:szCs w:val="52"/>
        </w:rPr>
        <w:t>十四五</w:t>
      </w:r>
      <w:r>
        <w:rPr>
          <w:rFonts w:hint="eastAsia" w:ascii="Times New Roman" w:hAnsi="Times New Roman" w:eastAsia="方正小标宋_GBK" w:cs="Times New Roman"/>
          <w:sz w:val="52"/>
          <w:szCs w:val="52"/>
          <w:lang w:eastAsia="zh-CN"/>
        </w:rPr>
        <w:t>”</w:t>
      </w:r>
    </w:p>
    <w:p>
      <w:pPr>
        <w:spacing w:line="540" w:lineRule="exact"/>
        <w:jc w:val="center"/>
        <w:rPr>
          <w:rFonts w:hint="eastAsia" w:ascii="方正仿宋_GBK" w:hAnsi="方正仿宋_GBK" w:eastAsia="方正仿宋_GBK" w:cs="方正仿宋_GBK"/>
          <w:kern w:val="2"/>
          <w:sz w:val="52"/>
          <w:szCs w:val="52"/>
          <w:lang w:val="en-US" w:eastAsia="zh-CN" w:bidi="ar-SA"/>
        </w:rPr>
      </w:pPr>
      <w:r>
        <w:rPr>
          <w:rFonts w:hint="eastAsia" w:ascii="Times New Roman" w:hAnsi="Times New Roman" w:eastAsia="方正小标宋_GBK" w:cs="Times New Roman"/>
          <w:sz w:val="52"/>
          <w:szCs w:val="52"/>
        </w:rPr>
        <w:t>专项规划</w:t>
      </w:r>
    </w:p>
    <w:p>
      <w:pPr>
        <w:ind w:left="0" w:leftChars="0" w:firstLine="0" w:firstLineChars="0"/>
        <w:jc w:val="center"/>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Cs w:val="0"/>
          <w:color w:val="auto"/>
          <w:kern w:val="2"/>
          <w:sz w:val="32"/>
          <w:szCs w:val="32"/>
          <w:highlight w:val="none"/>
          <w:lang w:val="en-US" w:eastAsia="zh-CN" w:bidi="ar-SA"/>
        </w:rPr>
        <w:t>（202</w:t>
      </w:r>
      <w:r>
        <w:rPr>
          <w:rFonts w:hint="eastAsia" w:ascii="Times New Roman" w:hAnsi="Times New Roman" w:eastAsia="楷体_GB2312" w:cs="Times New Roman"/>
          <w:bCs w:val="0"/>
          <w:color w:val="auto"/>
          <w:kern w:val="2"/>
          <w:sz w:val="32"/>
          <w:szCs w:val="32"/>
          <w:highlight w:val="none"/>
          <w:lang w:val="en-US" w:eastAsia="zh-CN" w:bidi="ar-SA"/>
        </w:rPr>
        <w:t>1</w:t>
      </w:r>
      <w:r>
        <w:rPr>
          <w:rFonts w:hint="default" w:ascii="Times New Roman" w:hAnsi="Times New Roman" w:eastAsia="楷体_GB2312" w:cs="Times New Roman"/>
          <w:bCs w:val="0"/>
          <w:color w:val="auto"/>
          <w:kern w:val="2"/>
          <w:sz w:val="32"/>
          <w:szCs w:val="32"/>
          <w:highlight w:val="none"/>
          <w:lang w:val="en-US" w:eastAsia="zh-CN" w:bidi="ar-SA"/>
        </w:rPr>
        <w:t>-2025）</w:t>
      </w:r>
    </w:p>
    <w:p>
      <w:pPr>
        <w:pStyle w:val="5"/>
        <w:jc w:val="both"/>
        <w:rPr>
          <w:rFonts w:hint="eastAsia" w:ascii="方正仿宋_GBK" w:hAnsi="方正仿宋_GBK" w:eastAsia="方正仿宋_GBK" w:cs="方正仿宋_GBK"/>
          <w:b/>
          <w:color w:val="auto"/>
          <w:szCs w:val="44"/>
        </w:rPr>
      </w:pPr>
    </w:p>
    <w:p>
      <w:pPr>
        <w:pStyle w:val="5"/>
        <w:jc w:val="both"/>
        <w:rPr>
          <w:rFonts w:hint="eastAsia" w:ascii="方正仿宋_GBK" w:hAnsi="方正仿宋_GBK" w:eastAsia="方正仿宋_GBK" w:cs="方正仿宋_GBK"/>
          <w:b/>
          <w:color w:val="auto"/>
          <w:szCs w:val="44"/>
        </w:rPr>
      </w:pPr>
    </w:p>
    <w:p>
      <w:pPr>
        <w:pStyle w:val="5"/>
        <w:jc w:val="both"/>
        <w:rPr>
          <w:rFonts w:hint="eastAsia" w:ascii="方正仿宋_GBK" w:hAnsi="方正仿宋_GBK" w:eastAsia="方正仿宋_GBK" w:cs="方正仿宋_GBK"/>
          <w:b/>
          <w:color w:val="auto"/>
          <w:szCs w:val="44"/>
        </w:rPr>
      </w:pPr>
    </w:p>
    <w:p>
      <w:pPr>
        <w:pStyle w:val="5"/>
        <w:jc w:val="both"/>
        <w:rPr>
          <w:rFonts w:hint="eastAsia" w:ascii="方正仿宋_GBK" w:hAnsi="方正仿宋_GBK" w:eastAsia="方正仿宋_GBK" w:cs="方正仿宋_GBK"/>
          <w:b/>
          <w:color w:val="auto"/>
          <w:szCs w:val="44"/>
        </w:rPr>
      </w:pPr>
    </w:p>
    <w:p>
      <w:pPr>
        <w:pStyle w:val="5"/>
        <w:jc w:val="both"/>
        <w:rPr>
          <w:rFonts w:hint="eastAsia" w:ascii="方正仿宋_GBK" w:hAnsi="方正仿宋_GBK" w:eastAsia="方正仿宋_GBK" w:cs="方正仿宋_GBK"/>
          <w:b/>
          <w:color w:val="auto"/>
          <w:szCs w:val="44"/>
        </w:rPr>
      </w:pPr>
    </w:p>
    <w:p>
      <w:pPr>
        <w:pStyle w:val="5"/>
        <w:jc w:val="both"/>
        <w:rPr>
          <w:rFonts w:hint="eastAsia" w:ascii="方正仿宋_GBK" w:hAnsi="方正仿宋_GBK" w:eastAsia="方正仿宋_GBK" w:cs="方正仿宋_GBK"/>
          <w:b/>
          <w:color w:val="auto"/>
          <w:szCs w:val="44"/>
        </w:rPr>
      </w:pPr>
    </w:p>
    <w:p>
      <w:pPr>
        <w:spacing w:line="560" w:lineRule="exact"/>
        <w:ind w:left="0" w:leftChars="0" w:firstLine="0" w:firstLineChars="0"/>
        <w:jc w:val="center"/>
        <w:rPr>
          <w:rFonts w:hint="default" w:ascii="方正楷体_GBK" w:hAnsi="Times New Roman" w:eastAsia="方正楷体_GBK"/>
          <w:w w:val="90"/>
          <w:sz w:val="36"/>
          <w:szCs w:val="36"/>
          <w:lang w:val="en-US" w:eastAsia="zh-CN"/>
        </w:rPr>
      </w:pPr>
      <w:r>
        <w:rPr>
          <w:rFonts w:hint="eastAsia" w:ascii="方正楷体_GBK" w:hAnsi="楷体_GB2312" w:eastAsia="方正楷体_GBK"/>
          <w:w w:val="90"/>
          <w:sz w:val="36"/>
          <w:szCs w:val="36"/>
        </w:rPr>
        <w:t>连云区</w:t>
      </w:r>
      <w:r>
        <w:rPr>
          <w:rFonts w:hint="eastAsia" w:ascii="方正楷体_GBK" w:hAnsi="楷体_GB2312" w:eastAsia="方正楷体_GBK"/>
          <w:w w:val="90"/>
          <w:sz w:val="36"/>
          <w:szCs w:val="36"/>
          <w:lang w:val="en-US" w:eastAsia="zh-CN"/>
        </w:rPr>
        <w:t>自贸办</w:t>
      </w:r>
    </w:p>
    <w:p>
      <w:pPr>
        <w:pStyle w:val="5"/>
        <w:jc w:val="both"/>
        <w:rPr>
          <w:rFonts w:hint="eastAsia" w:ascii="方正仿宋_GBK" w:hAnsi="方正仿宋_GBK" w:eastAsia="方正仿宋_GBK" w:cs="方正仿宋_GBK"/>
          <w:b/>
          <w:color w:val="auto"/>
          <w:szCs w:val="44"/>
        </w:rPr>
      </w:pPr>
    </w:p>
    <w:p>
      <w:pPr>
        <w:rPr>
          <w:rFonts w:hint="eastAsia" w:ascii="方正仿宋_GBK" w:hAnsi="方正仿宋_GBK" w:eastAsia="方正仿宋_GBK" w:cs="方正仿宋_GBK"/>
          <w:color w:val="auto"/>
        </w:rPr>
      </w:pPr>
    </w:p>
    <w:p>
      <w:pPr>
        <w:pStyle w:val="2"/>
        <w:rPr>
          <w:rFonts w:hint="eastAsia" w:ascii="方正仿宋_GBK" w:hAnsi="方正仿宋_GBK" w:eastAsia="方正仿宋_GBK" w:cs="方正仿宋_GBK"/>
        </w:rPr>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pgNumType w:fmt="decimal"/>
          <w:cols w:space="720" w:num="1"/>
          <w:docGrid w:type="lines" w:linePitch="312" w:charSpace="0"/>
        </w:sectPr>
      </w:pPr>
    </w:p>
    <w:p>
      <w:pPr>
        <w:spacing w:line="540" w:lineRule="exact"/>
        <w:jc w:val="both"/>
        <w:rPr>
          <w:rFonts w:hint="eastAsia" w:ascii="Times New Roman" w:hAnsi="Times New Roman" w:eastAsia="黑体" w:cs="Times New Roman"/>
          <w:sz w:val="36"/>
          <w:szCs w:val="36"/>
        </w:rPr>
      </w:pPr>
      <w:bookmarkStart w:id="13" w:name="_GoBack"/>
      <w:bookmarkEnd w:id="13"/>
    </w:p>
    <w:p>
      <w:pPr>
        <w:spacing w:line="540" w:lineRule="exact"/>
        <w:jc w:val="center"/>
        <w:rPr>
          <w:rFonts w:hint="eastAsia" w:ascii="Times New Roman" w:hAnsi="Times New Roman" w:eastAsia="黑体" w:cs="Times New Roman"/>
          <w:sz w:val="36"/>
          <w:szCs w:val="36"/>
        </w:rPr>
      </w:pPr>
      <w:r>
        <w:rPr>
          <w:rFonts w:hint="eastAsia" w:ascii="Times New Roman" w:hAnsi="Times New Roman" w:eastAsia="黑体" w:cs="Times New Roman"/>
          <w:sz w:val="36"/>
          <w:szCs w:val="36"/>
        </w:rPr>
        <w:t>目  录</w:t>
      </w:r>
    </w:p>
    <w:p>
      <w:pPr>
        <w:keepNext w:val="0"/>
        <w:keepLines w:val="0"/>
        <w:pageBreakBefore w:val="0"/>
        <w:widowControl w:val="0"/>
        <w:tabs>
          <w:tab w:val="left" w:pos="70"/>
          <w:tab w:val="center" w:pos="4153"/>
        </w:tabs>
        <w:kinsoku/>
        <w:wordWrap/>
        <w:overflowPunct/>
        <w:topLinePunct w:val="0"/>
        <w:autoSpaceDE/>
        <w:autoSpaceDN/>
        <w:bidi w:val="0"/>
        <w:adjustRightInd/>
        <w:snapToGrid/>
        <w:spacing w:after="120" w:line="480" w:lineRule="exact"/>
        <w:ind w:firstLine="0" w:firstLineChars="0"/>
        <w:jc w:val="both"/>
        <w:textAlignment w:val="auto"/>
        <w:rPr>
          <w:rFonts w:hint="eastAsia" w:ascii="方正黑体_GBK" w:hAnsi="方正黑体_GBK" w:eastAsia="方正黑体_GBK" w:cs="方正黑体_GBK"/>
          <w:bCs/>
          <w:color w:val="auto"/>
          <w:kern w:val="44"/>
          <w:sz w:val="32"/>
          <w:szCs w:val="32"/>
          <w:highlight w:val="none"/>
          <w:lang w:val="en-US" w:eastAsia="zh-CN" w:bidi="ar-SA"/>
        </w:rPr>
      </w:pPr>
    </w:p>
    <w:p>
      <w:pPr>
        <w:keepNext w:val="0"/>
        <w:keepLines w:val="0"/>
        <w:pageBreakBefore w:val="0"/>
        <w:widowControl w:val="0"/>
        <w:tabs>
          <w:tab w:val="left" w:pos="70"/>
          <w:tab w:val="center" w:pos="4153"/>
        </w:tabs>
        <w:kinsoku/>
        <w:wordWrap/>
        <w:overflowPunct/>
        <w:topLinePunct w:val="0"/>
        <w:autoSpaceDE/>
        <w:autoSpaceDN/>
        <w:bidi w:val="0"/>
        <w:adjustRightInd/>
        <w:snapToGrid/>
        <w:spacing w:after="120" w:line="560" w:lineRule="exact"/>
        <w:ind w:firstLine="0" w:firstLineChars="0"/>
        <w:jc w:val="both"/>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sz w:val="24"/>
          <w:szCs w:val="24"/>
          <w:lang w:val="en-US" w:eastAsia="zh-CN"/>
        </w:rPr>
        <w:t>引  言</w:t>
      </w:r>
      <w:r>
        <w:rPr>
          <w:rFonts w:hint="eastAsia" w:ascii="宋体" w:hAnsi="宋体" w:eastAsia="宋体" w:cs="宋体"/>
          <w:b/>
          <w:bCs/>
          <w:color w:val="auto"/>
          <w:kern w:val="44"/>
          <w:sz w:val="24"/>
          <w:szCs w:val="24"/>
          <w:highlight w:val="none"/>
          <w:lang w:val="en-US" w:eastAsia="zh-CN" w:bidi="ar-SA"/>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sz w:val="24"/>
          <w:szCs w:val="24"/>
          <w:lang w:val="en-US" w:eastAsia="zh-CN"/>
        </w:rPr>
        <w:t>第一章  发展基础和面临的形势</w:t>
      </w:r>
      <w:r>
        <w:rPr>
          <w:rFonts w:hint="eastAsia" w:ascii="宋体" w:hAnsi="宋体" w:eastAsia="宋体" w:cs="宋体"/>
          <w:b/>
          <w:bCs/>
          <w:color w:val="auto"/>
          <w:kern w:val="44"/>
          <w:sz w:val="24"/>
          <w:szCs w:val="24"/>
          <w:highlight w:val="none"/>
          <w:lang w:val="en-US"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第一节 “十三五”时期发展成就</w:t>
      </w:r>
      <w:r>
        <w:rPr>
          <w:rFonts w:hint="eastAsia" w:ascii="宋体" w:hAnsi="宋体" w:eastAsia="宋体" w:cs="宋体"/>
          <w:color w:val="auto"/>
          <w:kern w:val="2"/>
          <w:sz w:val="24"/>
          <w:szCs w:val="24"/>
          <w:highlight w:val="none"/>
          <w:lang w:val="en-US" w:eastAsia="zh-CN" w:bidi="ar-SA"/>
        </w:rPr>
        <w:t>…………………… …………………………2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第二节 存在的问题</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bCs/>
          <w:color w:val="auto"/>
          <w:kern w:val="44"/>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第三节 “十四五”宏观环境和发展趋势</w:t>
      </w:r>
      <w:r>
        <w:rPr>
          <w:rFonts w:hint="eastAsia" w:ascii="宋体" w:hAnsi="宋体" w:eastAsia="宋体" w:cs="宋体"/>
          <w:color w:val="auto"/>
          <w:kern w:val="2"/>
          <w:sz w:val="24"/>
          <w:szCs w:val="24"/>
          <w:highlight w:val="none"/>
          <w:lang w:val="en-US" w:eastAsia="zh-CN" w:bidi="ar-SA"/>
        </w:rPr>
        <w:t>…………… …………………………5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sz w:val="24"/>
          <w:szCs w:val="24"/>
          <w:lang w:val="en-US" w:eastAsia="zh-CN"/>
        </w:rPr>
        <w:t>第二章  指导思想、基本原则和发展目标</w:t>
      </w:r>
      <w:r>
        <w:rPr>
          <w:rFonts w:hint="eastAsia" w:ascii="宋体" w:hAnsi="宋体" w:eastAsia="宋体" w:cs="宋体"/>
          <w:b/>
          <w:bCs/>
          <w:color w:val="auto"/>
          <w:kern w:val="44"/>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  ……………………</w:t>
      </w:r>
      <w:r>
        <w:rPr>
          <w:rFonts w:hint="eastAsia" w:ascii="宋体" w:hAnsi="宋体" w:eastAsia="宋体" w:cs="宋体"/>
          <w:b/>
          <w:bCs/>
          <w:color w:val="auto"/>
          <w:kern w:val="44"/>
          <w:sz w:val="24"/>
          <w:szCs w:val="24"/>
          <w:highlight w:val="none"/>
          <w:lang w:val="en-US" w:eastAsia="zh-CN" w:bidi="ar-SA"/>
        </w:rPr>
        <w:t>……6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第一节 指导思想</w:t>
      </w:r>
      <w:r>
        <w:rPr>
          <w:rFonts w:hint="eastAsia" w:ascii="宋体" w:hAnsi="宋体" w:eastAsia="宋体" w:cs="宋体"/>
          <w:color w:val="auto"/>
          <w:kern w:val="2"/>
          <w:sz w:val="24"/>
          <w:szCs w:val="24"/>
          <w:highlight w:val="none"/>
          <w:lang w:val="en-US" w:eastAsia="zh-CN" w:bidi="ar-SA"/>
        </w:rPr>
        <w:t>……………………………………… …………………………6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第二节 基本原则</w:t>
      </w:r>
      <w:r>
        <w:rPr>
          <w:rFonts w:hint="eastAsia" w:ascii="宋体" w:hAnsi="宋体" w:eastAsia="宋体" w:cs="宋体"/>
          <w:color w:val="auto"/>
          <w:kern w:val="2"/>
          <w:sz w:val="24"/>
          <w:szCs w:val="24"/>
          <w:highlight w:val="none"/>
          <w:lang w:val="en-US" w:eastAsia="zh-CN" w:bidi="ar-SA"/>
        </w:rPr>
        <w:t>……………………………………… …………………………6</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第三节 发展目标</w:t>
      </w:r>
      <w:r>
        <w:rPr>
          <w:rFonts w:hint="eastAsia" w:ascii="宋体" w:hAnsi="宋体" w:eastAsia="宋体" w:cs="宋体"/>
          <w:color w:val="auto"/>
          <w:kern w:val="2"/>
          <w:sz w:val="24"/>
          <w:szCs w:val="24"/>
          <w:highlight w:val="none"/>
          <w:lang w:val="en-US" w:eastAsia="zh-CN" w:bidi="ar-SA"/>
        </w:rPr>
        <w:t>…………………………………… ……………………………7</w:t>
      </w:r>
    </w:p>
    <w:p>
      <w:pPr>
        <w:keepNext w:val="0"/>
        <w:keepLines w:val="0"/>
        <w:pageBreakBefore w:val="0"/>
        <w:widowControl w:val="0"/>
        <w:kinsoku/>
        <w:wordWrap/>
        <w:overflowPunct/>
        <w:topLinePunct w:val="0"/>
        <w:autoSpaceDE/>
        <w:autoSpaceDN/>
        <w:bidi w:val="0"/>
        <w:adjustRightInd/>
        <w:snapToGrid/>
        <w:spacing w:line="560" w:lineRule="exact"/>
        <w:ind w:left="723" w:leftChars="0" w:hanging="723" w:hangingChars="3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lang w:val="en-US" w:eastAsia="zh-CN"/>
        </w:rPr>
        <w:t>第三章  发展重点和主要任务</w:t>
      </w:r>
      <w:r>
        <w:rPr>
          <w:rFonts w:hint="eastAsia" w:ascii="宋体" w:hAnsi="宋体" w:eastAsia="宋体" w:cs="宋体"/>
          <w:b/>
          <w:bCs/>
          <w:sz w:val="24"/>
          <w:szCs w:val="24"/>
          <w:lang w:val="en-US" w:eastAsia="zh-CN"/>
        </w:rPr>
        <w:tab/>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第一节 建设交流合作先行区</w:t>
      </w:r>
      <w:r>
        <w:rPr>
          <w:rFonts w:hint="eastAsia" w:ascii="宋体" w:hAnsi="宋体" w:eastAsia="宋体" w:cs="宋体"/>
          <w:color w:val="auto"/>
          <w:kern w:val="2"/>
          <w:sz w:val="24"/>
          <w:szCs w:val="24"/>
          <w:highlight w:val="none"/>
          <w:lang w:val="en-US" w:eastAsia="zh-CN" w:bidi="ar-SA"/>
        </w:rPr>
        <w:t>…………………… ………………………………9</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第二节 建设转型升级示范区</w:t>
      </w:r>
      <w:r>
        <w:rPr>
          <w:rFonts w:hint="eastAsia" w:ascii="宋体" w:hAnsi="宋体" w:eastAsia="宋体" w:cs="宋体"/>
          <w:color w:val="auto"/>
          <w:kern w:val="2"/>
          <w:sz w:val="24"/>
          <w:szCs w:val="24"/>
          <w:highlight w:val="none"/>
          <w:lang w:val="en-US" w:eastAsia="zh-CN" w:bidi="ar-SA"/>
        </w:rPr>
        <w:t>……………………………………………………12</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第三节 建设改革发展创新区</w:t>
      </w:r>
      <w:r>
        <w:rPr>
          <w:rFonts w:hint="eastAsia" w:ascii="宋体" w:hAnsi="宋体" w:eastAsia="宋体" w:cs="宋体"/>
          <w:color w:val="auto"/>
          <w:kern w:val="2"/>
          <w:sz w:val="24"/>
          <w:szCs w:val="24"/>
          <w:highlight w:val="none"/>
          <w:lang w:val="en-US" w:eastAsia="zh-CN" w:bidi="ar-SA"/>
        </w:rPr>
        <w:t>……………………………………………………16</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sz w:val="24"/>
          <w:szCs w:val="24"/>
          <w:lang w:val="en-US" w:eastAsia="zh-CN"/>
        </w:rPr>
        <w:t>第四章  规划实施保障</w:t>
      </w:r>
      <w:r>
        <w:rPr>
          <w:rFonts w:hint="eastAsia" w:ascii="宋体" w:hAnsi="宋体" w:eastAsia="宋体" w:cs="宋体"/>
          <w:b/>
          <w:bCs/>
          <w:color w:val="auto"/>
          <w:kern w:val="44"/>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 ………………………</w:t>
      </w:r>
      <w:r>
        <w:rPr>
          <w:rFonts w:hint="eastAsia" w:ascii="宋体" w:hAnsi="宋体" w:eastAsia="宋体" w:cs="宋体"/>
          <w:b/>
          <w:bCs/>
          <w:color w:val="auto"/>
          <w:kern w:val="44"/>
          <w:sz w:val="24"/>
          <w:szCs w:val="24"/>
          <w:highlight w:val="none"/>
          <w:lang w:val="en-US" w:eastAsia="zh-CN" w:bidi="ar-SA"/>
        </w:rPr>
        <w:t>……20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第一节 加强组织实施</w:t>
      </w:r>
      <w:r>
        <w:rPr>
          <w:rFonts w:hint="eastAsia" w:ascii="宋体" w:hAnsi="宋体" w:eastAsia="宋体" w:cs="宋体"/>
          <w:color w:val="auto"/>
          <w:kern w:val="2"/>
          <w:sz w:val="24"/>
          <w:szCs w:val="24"/>
          <w:highlight w:val="none"/>
          <w:lang w:val="en-US" w:eastAsia="zh-CN" w:bidi="ar-SA"/>
        </w:rPr>
        <w:t>……………………………………………………………20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第二节 做好重大风险识别防范</w:t>
      </w:r>
      <w:r>
        <w:rPr>
          <w:rFonts w:hint="eastAsia" w:ascii="宋体" w:hAnsi="宋体" w:eastAsia="宋体" w:cs="宋体"/>
          <w:color w:val="auto"/>
          <w:kern w:val="2"/>
          <w:sz w:val="24"/>
          <w:szCs w:val="24"/>
          <w:highlight w:val="none"/>
          <w:lang w:val="en-US" w:eastAsia="zh-CN" w:bidi="ar-SA"/>
        </w:rPr>
        <w:t>…………………………………………………20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第三节 强化区域联动</w:t>
      </w:r>
      <w:r>
        <w:rPr>
          <w:rFonts w:hint="eastAsia" w:ascii="宋体" w:hAnsi="宋体" w:eastAsia="宋体" w:cs="宋体"/>
          <w:color w:val="auto"/>
          <w:kern w:val="2"/>
          <w:sz w:val="24"/>
          <w:szCs w:val="24"/>
          <w:highlight w:val="none"/>
          <w:lang w:val="en-US" w:eastAsia="zh-CN" w:bidi="ar-SA"/>
        </w:rPr>
        <w:t>……………………………………………………………20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第四节 实施考核激励</w:t>
      </w:r>
      <w:r>
        <w:rPr>
          <w:rFonts w:hint="eastAsia" w:ascii="宋体" w:hAnsi="宋体" w:eastAsia="宋体" w:cs="宋体"/>
          <w:color w:val="auto"/>
          <w:kern w:val="2"/>
          <w:sz w:val="24"/>
          <w:szCs w:val="24"/>
          <w:highlight w:val="none"/>
          <w:lang w:val="en-US" w:eastAsia="zh-CN" w:bidi="ar-SA"/>
        </w:rPr>
        <w:t>……………………………………………………………21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kern w:val="2"/>
          <w:sz w:val="24"/>
          <w:szCs w:val="24"/>
          <w:lang w:val="en-US" w:eastAsia="zh-CN" w:bidi="ar-SA"/>
        </w:rPr>
        <w:t>第五节 营造良好氛围</w:t>
      </w:r>
      <w:r>
        <w:rPr>
          <w:rFonts w:hint="eastAsia" w:ascii="宋体" w:hAnsi="宋体" w:eastAsia="宋体" w:cs="宋体"/>
          <w:color w:val="auto"/>
          <w:kern w:val="2"/>
          <w:sz w:val="24"/>
          <w:szCs w:val="24"/>
          <w:highlight w:val="none"/>
          <w:lang w:val="en-US" w:eastAsia="zh-CN" w:bidi="ar-SA"/>
        </w:rPr>
        <w:t xml:space="preserve">……………………………………………………………21  </w:t>
      </w:r>
    </w:p>
    <w:p>
      <w:pPr>
        <w:spacing w:line="600" w:lineRule="exact"/>
        <w:ind w:left="0" w:leftChars="0" w:firstLine="0" w:firstLineChars="0"/>
        <w:jc w:val="both"/>
        <w:rPr>
          <w:rFonts w:hint="eastAsia" w:ascii="方正仿宋_GBK" w:hAnsi="方正仿宋_GBK" w:eastAsia="方正仿宋_GBK" w:cs="方正仿宋_GBK"/>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引  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时期</w:t>
      </w:r>
      <w:r>
        <w:rPr>
          <w:rFonts w:hint="default" w:ascii="Times New Roman" w:hAnsi="Times New Roman" w:eastAsia="仿宋_GB2312" w:cs="Times New Roman"/>
          <w:sz w:val="32"/>
          <w:szCs w:val="32"/>
          <w:lang w:val="en-US" w:eastAsia="zh-CN"/>
        </w:rPr>
        <w:t>是自贸试验区连云区块成立以来经历的第一个完整五年计划，建设成为亚欧重要国际交通枢纽、集聚优质要素的开放门户、“一带一路”沿线国家（地区）交流合作平台是连云区块的目标定位。在“十四五”期间，自贸试验区连云区块应当以创新为主线，以产业为突破，围绕培育独具自身特色的差异性竞争优势、搭建成熟稳定的产业链、聚焦平台经济等新兴产业模式蓄势发力，打造区域经济重要增长极，构建“自贸试验区+联动创新发展区+辐射带动区”的良性发展格局。</w:t>
      </w:r>
      <w:r>
        <w:rPr>
          <w:rFonts w:hint="default" w:ascii="Times New Roman" w:hAnsi="Times New Roman" w:eastAsia="仿宋_GB2312" w:cs="Times New Roman"/>
          <w:sz w:val="32"/>
          <w:szCs w:val="32"/>
        </w:rPr>
        <w:t>为科学指导</w:t>
      </w:r>
      <w:r>
        <w:rPr>
          <w:rFonts w:hint="default" w:ascii="Times New Roman" w:hAnsi="Times New Roman" w:eastAsia="仿宋_GB2312" w:cs="Times New Roman"/>
          <w:sz w:val="32"/>
          <w:szCs w:val="32"/>
          <w:lang w:val="en-US" w:eastAsia="zh-CN"/>
        </w:rPr>
        <w:t>自贸试验区连云区块产业</w:t>
      </w:r>
      <w:r>
        <w:rPr>
          <w:rFonts w:hint="default" w:ascii="Times New Roman" w:hAnsi="Times New Roman" w:eastAsia="仿宋_GB2312" w:cs="Times New Roman"/>
          <w:sz w:val="32"/>
          <w:szCs w:val="32"/>
        </w:rPr>
        <w:t>快速健康发展，特编制《自贸试验区连云区块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专项规划》。规划期限为20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年到202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年，远期展望到203</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第一章 发展基础</w:t>
      </w:r>
      <w:r>
        <w:rPr>
          <w:rFonts w:hint="eastAsia" w:ascii="方正小标宋_GBK" w:hAnsi="方正小标宋_GBK" w:eastAsia="方正小标宋_GBK" w:cs="方正小标宋_GBK"/>
          <w:sz w:val="44"/>
          <w:szCs w:val="44"/>
          <w:lang w:val="en-US" w:eastAsia="zh-CN"/>
        </w:rPr>
        <w:t>和面临的形势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bookmarkStart w:id="0" w:name="_Toc59583797"/>
      <w:bookmarkStart w:id="1" w:name="_Toc56552135"/>
      <w:bookmarkStart w:id="2" w:name="_Toc26618"/>
      <w:bookmarkStart w:id="3" w:name="_Toc31252"/>
      <w:bookmarkStart w:id="4" w:name="_Toc7672"/>
      <w:bookmarkStart w:id="5" w:name="_Toc60008787"/>
      <w:bookmarkStart w:id="6" w:name="_Toc30675"/>
      <w:bookmarkStart w:id="7" w:name="_Toc57500217"/>
      <w:bookmarkStart w:id="8" w:name="_Toc57499575"/>
      <w:bookmarkStart w:id="9" w:name="_Toc5593724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 xml:space="preserve">第一节  </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rPr>
        <w:t>十三五</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rPr>
        <w:t>时期发展成就</w:t>
      </w:r>
      <w:bookmarkEnd w:id="0"/>
      <w:bookmarkEnd w:id="1"/>
      <w:bookmarkEnd w:id="2"/>
      <w:bookmarkEnd w:id="3"/>
      <w:bookmarkEnd w:id="4"/>
      <w:bookmarkEnd w:id="5"/>
      <w:bookmarkEnd w:id="6"/>
      <w:bookmarkEnd w:id="7"/>
      <w:bookmarkEnd w:id="8"/>
      <w:bookmarkEnd w:id="9"/>
      <w:bookmarkStart w:id="10" w:name="_Toc9617"/>
      <w:bookmarkStart w:id="11" w:name="_Toc60008790"/>
      <w:bookmarkStart w:id="12" w:name="_Toc100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自贸试验区连云区块自2019年8月26日揭牌以来，在市委市政府和市自贸试验区管委会的领导下，区委区政府坚持谋划在先，第一时间启动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173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全域自贸谋篇布局，围绕三大功能定位，突出七大主导产业，快抓项目落地，狠抓制度创新，自贸区建设各项工作快速推进。截至</w:t>
      </w: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月底，</w:t>
      </w:r>
      <w:r>
        <w:rPr>
          <w:rFonts w:hint="default" w:ascii="Times New Roman" w:hAnsi="Times New Roman" w:eastAsia="仿宋_GB2312" w:cs="Times New Roman"/>
          <w:sz w:val="32"/>
          <w:szCs w:val="32"/>
          <w:lang w:val="en-US" w:eastAsia="zh-CN"/>
        </w:rPr>
        <w:t>自贸试验区</w:t>
      </w:r>
      <w:r>
        <w:rPr>
          <w:rFonts w:hint="default" w:ascii="Times New Roman" w:hAnsi="Times New Roman" w:eastAsia="仿宋_GB2312" w:cs="Times New Roman"/>
          <w:sz w:val="32"/>
          <w:szCs w:val="32"/>
        </w:rPr>
        <w:t>连云区块共</w:t>
      </w:r>
      <w:r>
        <w:rPr>
          <w:rFonts w:hint="default" w:ascii="Times New Roman" w:hAnsi="Times New Roman" w:eastAsia="仿宋_GB2312" w:cs="Times New Roman"/>
          <w:sz w:val="32"/>
          <w:szCs w:val="32"/>
          <w:lang w:val="en-US" w:eastAsia="zh-CN"/>
        </w:rPr>
        <w:t>招引落地</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US" w:eastAsia="zh-CN"/>
        </w:rPr>
        <w:t>5000余</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注册资本</w:t>
      </w:r>
      <w:r>
        <w:rPr>
          <w:rFonts w:hint="default" w:ascii="Times New Roman" w:hAnsi="Times New Roman" w:eastAsia="仿宋_GB2312" w:cs="Times New Roman"/>
          <w:sz w:val="32"/>
          <w:szCs w:val="32"/>
          <w:lang w:val="en-US" w:eastAsia="zh-CN"/>
        </w:rPr>
        <w:t>达226.59</w:t>
      </w:r>
      <w:r>
        <w:rPr>
          <w:rFonts w:hint="default" w:ascii="Times New Roman" w:hAnsi="Times New Roman" w:eastAsia="仿宋_GB2312" w:cs="Times New Roman"/>
          <w:sz w:val="32"/>
          <w:szCs w:val="32"/>
        </w:rPr>
        <w:t>亿元，实现税收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亿元，进出口总额</w:t>
      </w:r>
      <w:r>
        <w:rPr>
          <w:rFonts w:hint="default" w:ascii="Times New Roman" w:hAnsi="Times New Roman" w:eastAsia="仿宋_GB2312" w:cs="Times New Roman"/>
          <w:sz w:val="32"/>
          <w:szCs w:val="32"/>
          <w:lang w:val="en-US" w:eastAsia="zh-CN"/>
        </w:rPr>
        <w:t>28.8</w:t>
      </w:r>
      <w:r>
        <w:rPr>
          <w:rFonts w:hint="default" w:ascii="Times New Roman" w:hAnsi="Times New Roman" w:eastAsia="仿宋_GB2312" w:cs="Times New Roman"/>
          <w:sz w:val="32"/>
          <w:szCs w:val="32"/>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rPr>
        <w:t>改革创新成果全面涌现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围绕投资贸易便利化、政府职能转变等领域先行先试，形成42项改革创新经验，其中今年以来形成33项，完成省级创新案例2项、市级创新案例7项。一是推进制度创新。出台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纪十条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，发挥纪检监察机关服务保障作用；推出企业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度，优化重点产业注册流程；出台连云自贸区块类金融企业准入及变更指导意见，通过联审会议简化程序，提高自贸试验区类金融企业质量及招商针对性；出台关于连云区块油品贸易类企业准入暂行办法（试行），降低企业入驻成本。搭建全国首个二手集装箱线上交易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箱咖集市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，促进二手集装箱交易健康发展。二是推进政务服务创新。构建自贸区企业非诉讼纠纷解决机制，实行公共场所卫生许可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零材料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立即办理机制，实现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一照多址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集群注册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登记模式。创新打造云港医疗健康产业园，招引25家企业，完成开票额1000万元；出台市场监管领域免罚清单，对43项轻微违法行为免予处罚；精简服务业招商政策兑现流程，已兑现扶持资金773.47万元。三是推进业务模式创新。出台《自贸试验区连云港片区连云区块合格境外有限合伙人（QFLP）试行办法》，引进7家股权投资类企业。全面推进金融租赁、融资租赁行业发展，与中安融资租赁（平潭）有限公司就合作模式和业务方向达成初步合作意向。容昕事务所获准试点运行，有5家企业签订代理协议，实现开票6200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rPr>
        <w:t>产业集聚效应全面彰显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站位谋划产业布局，强力推进旅游医养、物流发展、总部经济等项目落地扎根，每个产业均有2个以上项目支撑。一是旅游医养业态全面发展。成功创建省级全域旅游示范区，加快邮轮、游艇等配套设施建设，已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双子星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号邮轮签订合作框架协议。已建成的连云新城江苏省康复医院，日本三和株式会社、上海永远幸妇科医院进行现场考察和洽谈，省卫健委已初步同意在自贸区规划辅助生殖牌照。干细胞储存库项目8月25日正式开业。二是总部经济加快集聚。加快建设能源交易中心，开展现货石油贸易、仓储、交割等业务，优化油品贸易类企业注册流程，招引45家油品贸易类企业落地。推行市场化专业招商新模式，招引9家中介服务机构落户，8家银行设立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三、</w:t>
      </w:r>
      <w:r>
        <w:rPr>
          <w:rFonts w:hint="eastAsia" w:ascii="Times New Roman" w:hAnsi="Times New Roman" w:eastAsia="楷体_GB2312" w:cs="Times New Roman"/>
          <w:sz w:val="32"/>
          <w:szCs w:val="32"/>
        </w:rPr>
        <w:t>配套保障全面加强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一是完善体制机制。组建中国（江苏）自由贸易试验区连云港片区连云管理办公室（连云港片区管委会现代服务业发展局），形成全区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一盘棋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的工作格局。构建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企业服务体系，设立连云区市场监管局自贸区分局，成立自贸试验区连云港片区企业服务中心、政务服务中心、跨境投融资便利化综合服务中心，打造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一窗受理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便捷服务新格局。二是完善自贸试验区考核机制。印发《自贸试验区连云管理办公室考核办法》，明确各单位目标任务，建立月分析、季通报工作机制，全力推进各项工作落实。三是完善法律服务体系。制定出台《关于加强法律服务协作推进自贸区连云港片区连云区块发展的意见》，成立自贸试验区连云港片区连云区块法律服务协作中心，构建自贸区法律咨询、开展律师公证、推进行政执法监督、多元化解矛盾纠纷、提供便捷诉讼服务、会商研办疑难问题的司法服务体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第二节</w:t>
      </w:r>
      <w:bookmarkEnd w:id="10"/>
      <w:bookmarkEnd w:id="11"/>
      <w:bookmarkEnd w:id="12"/>
      <w:r>
        <w:rPr>
          <w:rFonts w:hint="eastAsia" w:ascii="Times New Roman" w:hAnsi="Times New Roman" w:eastAsia="黑体" w:cs="Times New Roman"/>
          <w:sz w:val="32"/>
          <w:szCs w:val="32"/>
          <w:lang w:val="en-US" w:eastAsia="zh-CN"/>
        </w:rPr>
        <w:t xml:space="preserve"> 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在自贸试验区连云区块快速发展过程中，仍有一定问题有待解决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制度政策创新方面</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自贸试验区是国内改革创新的试验田，因此制度创新必须领先于现行制度政策或行业规范，对于创新主体的专业能力和改革前瞻性要求极高，同时还需要具备打破固有模式的决心和动力，对于目前我区行政事业人员来说具有较大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产业</w:t>
      </w:r>
      <w:r>
        <w:rPr>
          <w:rFonts w:hint="default" w:ascii="Times New Roman" w:hAnsi="Times New Roman" w:eastAsia="楷体_GB2312" w:cs="Times New Roman"/>
          <w:sz w:val="32"/>
          <w:szCs w:val="32"/>
        </w:rPr>
        <w:t>项目发展方面</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因受新冠疫情爆发，项目招引、建设及发展均受到不同程度影响。跨境电商形成初步发展格局，线下园区运营体制机制仍需进一步完善，支持政策保障力度还需进一步加大。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第三节 “十四五”宏观环境和发展趋势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四五”时期处于“两个一百年”奋斗目标的历史交汇期，面对“百年未有之大变局”，特别是新冠肺炎疫情爆发后，世界地缘政治关系的变动和全球经济模式的转变，未来的发展思路和方向较“十三五”时期将发生巨大的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（一）市场环境</w:t>
      </w:r>
      <w:r>
        <w:rPr>
          <w:rFonts w:hint="eastAsia"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国内市场方面，2020年以来，新冠疫情对于公民生活的影响日渐减弱，国内市场主体实现了自我淘汰，当前制造业、服务业相继回暖，结构性通胀得以缓解，就业与消费缓慢回暖，配合促进生产的政策性导向，国内市场环境存在良性趋势。国际市场方面，受疫情影响，欧美发达国家制造业生产水平阶段性回落，我国外贸数据快速增长。但伴随疫苗的普及，疫情带来的影响逐渐消退，生产的恢复叠加对华贸易政策的抑制或将大量压缩对欧美等发达国家的外贸空间。考虑到美国货币的增发和通胀数据的上涨，国内商品仍具有市场需求，此外西亚、中欧、东南亚等地区市场对于中国依旧保持友好开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（二）发展趋势</w:t>
      </w:r>
      <w:r>
        <w:rPr>
          <w:rFonts w:hint="eastAsia" w:ascii="方正楷体_GBK" w:hAnsi="方正楷体_GBK" w:eastAsia="方正楷体_GBK" w:cs="方正楷体_GBK"/>
          <w:b w:val="0"/>
          <w:bCs/>
          <w:color w:val="auto"/>
          <w:sz w:val="32"/>
          <w:szCs w:val="32"/>
          <w:lang w:val="en-US" w:eastAsia="zh-CN"/>
        </w:rPr>
        <w:t>。</w:t>
      </w:r>
      <w:r>
        <w:rPr>
          <w:rFonts w:hint="default" w:ascii="Times New Roman" w:hAnsi="Times New Roman" w:eastAsia="仿宋_GB2312" w:cs="Times New Roman"/>
          <w:sz w:val="32"/>
          <w:szCs w:val="32"/>
          <w:lang w:val="en-US" w:eastAsia="zh-CN"/>
        </w:rPr>
        <w:t>全球地缘政治经济格局日益复杂，国际经贸投资规则体系进入重构阶段，国内市场需求的日益旺盛和国际市场拓展的阻力增大，构建国内大循环为主体、国内国际双循环相互促进的新发展格局将成为“十四五”期间的重要发展趋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第</w:t>
      </w:r>
      <w:r>
        <w:rPr>
          <w:rFonts w:hint="eastAsia" w:ascii="方正小标宋_GBK" w:hAnsi="方正小标宋_GBK" w:eastAsia="方正小标宋_GBK" w:cs="方正小标宋_GBK"/>
          <w:color w:val="auto"/>
          <w:sz w:val="44"/>
          <w:szCs w:val="44"/>
          <w:lang w:val="en-US" w:eastAsia="zh-CN"/>
        </w:rPr>
        <w:t>二</w:t>
      </w:r>
      <w:r>
        <w:rPr>
          <w:rFonts w:hint="eastAsia" w:ascii="方正小标宋_GBK" w:hAnsi="方正小标宋_GBK" w:eastAsia="方正小标宋_GBK" w:cs="方正小标宋_GBK"/>
          <w:color w:val="auto"/>
          <w:sz w:val="44"/>
          <w:szCs w:val="44"/>
        </w:rPr>
        <w:t>章 指导思想、基本原则和发展目标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第一节 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深入贯彻党的十九大和十九届二中、三中、四中、五中全会精神，坚持新发展理念，坚持高质量发展，坚持差异化探索，以创新为主线，以产业为突破，围绕培育独具自身特色的差异性竞争优势、搭建成熟稳定的产业链、聚焦平台经济等新兴产业模式蓄势发力，打造区域经济重要增长极，构建“自贸试验区+联动创新发展区+辐射带动区”的良性发展格局。加快“一带一路”强支点建设，探索与“一带一路”沿线国家（地区）合作新模式、新机制，为全面深化改革和扩大开放探索新途径、积累新经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第二节 基本原则</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一是坚持制度创新引导发展的原则。</w:t>
      </w:r>
      <w:r>
        <w:rPr>
          <w:rFonts w:hint="default" w:ascii="Times New Roman" w:hAnsi="Times New Roman" w:eastAsia="仿宋_GB2312" w:cs="Times New Roman"/>
          <w:sz w:val="32"/>
          <w:szCs w:val="32"/>
          <w:lang w:val="en-US" w:eastAsia="zh-CN"/>
        </w:rPr>
        <w:t>以制度创新为核心，以可复制可推广为基本要求，对标国际先进规则，充分发挥开放、改革、创新的叠加效应。通过制度创新及复制，完善自由贸易试验区开放型经济制度体系建设，深化“放管服”改革，推动制度创新，提升投资贸易自由化便利化水平，努力建设“一带一路”生产性服务业集聚示范区，努力打造市场化、法制化、国际化营商环境，努力建设经济融合、发展联动、成果共享的新时代改革开放新高地。</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二是坚持重点产业集聚发展的原则。</w:t>
      </w:r>
      <w:r>
        <w:rPr>
          <w:rFonts w:hint="default" w:ascii="Times New Roman" w:hAnsi="Times New Roman" w:eastAsia="仿宋_GB2312" w:cs="Times New Roman"/>
          <w:sz w:val="32"/>
          <w:szCs w:val="32"/>
          <w:lang w:val="en-US" w:eastAsia="zh-CN"/>
        </w:rPr>
        <w:t>以项目建设为抓手，重点发展总部经济、现代物流、健康医养、金融服务、休闲旅游、商务配套、大数据及跨境电商等现代服务业，围绕港口资源优势，重点发展港航物流、国际贸易、航运金融等现代服务业，构建集国际运输、分拨转运、仓储配送、临港加工、交易及配套服务功能于一体的物流中心。</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三是坚持全域自贸联动发展的原则。</w:t>
      </w:r>
      <w:r>
        <w:rPr>
          <w:rFonts w:hint="default" w:ascii="Times New Roman" w:hAnsi="Times New Roman" w:eastAsia="仿宋_GB2312" w:cs="Times New Roman"/>
          <w:sz w:val="32"/>
          <w:szCs w:val="32"/>
          <w:lang w:val="en-US" w:eastAsia="zh-CN"/>
        </w:rPr>
        <w:t>着力构建“一区七块三组团”的“173”全域自贸体系。其中“一区”是指连云区块和港口区块组成的自贸区域，“七块”主要包括零公里地块、碱厂生活区地块、水产学校地块、阳光国际地块、跨铁路桥西地块和东地块、港区地块。“三组团”是指以城市配套服务为主体的城区组团，以港航物流为主体的港区组团，以服务“一带一路”沿线国家（地区）为主体的上合组织（连云港）国际物流园，努力为七大产业承载地块提供产业、空间支撑和配套延伸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第三节 发展目标</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一是形成自贸试验区企业集群。</w:t>
      </w:r>
      <w:r>
        <w:rPr>
          <w:rFonts w:hint="default" w:ascii="Times New Roman" w:hAnsi="Times New Roman" w:eastAsia="仿宋_GB2312" w:cs="Times New Roman"/>
          <w:sz w:val="32"/>
          <w:szCs w:val="32"/>
          <w:lang w:val="en-US" w:eastAsia="zh-CN"/>
        </w:rPr>
        <w:t>依托自贸试验区制度创新和资源优势，围绕连云区块重点产业类型，大力招引现代服务业企业注册落地，形成规模性企业集群。“十四五”期间自贸试验区连云区块计划累计实现注册登记企业12600家，完成注册资本合计1150亿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二是打造自贸试验区税收高地。</w:t>
      </w:r>
      <w:r>
        <w:rPr>
          <w:rFonts w:hint="default" w:ascii="Times New Roman" w:hAnsi="Times New Roman" w:eastAsia="仿宋_GB2312" w:cs="Times New Roman"/>
          <w:kern w:val="2"/>
          <w:sz w:val="32"/>
          <w:szCs w:val="32"/>
          <w:lang w:val="en-US" w:eastAsia="zh-CN" w:bidi="ar-SA"/>
        </w:rPr>
        <w:t>大力招引企业总部、财务中心、结算中心等总部落户自贸试验区，打造区域性总部经济、楼宇经济的集聚区。招引类金融企业、油品贸易类企业等高税源企业入驻，完善自贸试验区产业体系。“十四五”期间自贸试验区连云区块计划累计实现税收8亿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三是引导自贸试验区外贸经济。</w:t>
      </w:r>
      <w:r>
        <w:rPr>
          <w:rFonts w:hint="default" w:ascii="Times New Roman" w:hAnsi="Times New Roman" w:eastAsia="仿宋_GB2312" w:cs="Times New Roman"/>
          <w:kern w:val="2"/>
          <w:sz w:val="32"/>
          <w:szCs w:val="32"/>
          <w:lang w:val="en-US" w:eastAsia="zh-CN" w:bidi="ar-SA"/>
        </w:rPr>
        <w:t>充分利用自贸试验区高开放性、高自由度的特征，重点发展外贸经济，引导港航物流、临港加工及进出口贸易的融合发展；积极探索跨境金融服务，引导金融机构服务外贸经济发展。“十四五”期间自贸试验区连云区块计划累计实现进出口总额150亿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四是推进自贸试验区制度创新。</w:t>
      </w:r>
      <w:r>
        <w:rPr>
          <w:rFonts w:hint="default" w:ascii="Times New Roman" w:hAnsi="Times New Roman" w:eastAsia="仿宋_GB2312" w:cs="Times New Roman"/>
          <w:kern w:val="2"/>
          <w:sz w:val="32"/>
          <w:szCs w:val="32"/>
          <w:lang w:val="en-US" w:eastAsia="zh-CN" w:bidi="ar-SA"/>
        </w:rPr>
        <w:t>围绕自贸试验区范围内企业需求，有针对性地创新企业服务模式。积极调动全区机关单位，制定行之有效的创新考核方案，引导各部门在领域内自我突破，从实践中探索创新。“十四五”期间自贸试验区连云区块计划累计出台创新成果150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五是发展自贸试验区跨境电商。</w:t>
      </w:r>
      <w:r>
        <w:rPr>
          <w:rFonts w:hint="default" w:ascii="Times New Roman" w:hAnsi="Times New Roman" w:eastAsia="仿宋_GB2312" w:cs="Times New Roman"/>
          <w:kern w:val="2"/>
          <w:sz w:val="32"/>
          <w:szCs w:val="32"/>
          <w:lang w:val="en-US" w:eastAsia="zh-CN" w:bidi="ar-SA"/>
        </w:rPr>
        <w:t>将抢抓跨境电子商务综合试验区获批机遇，重点打造跨境电商平台、服务环境、生态圈、进出口物流集散中心，探索具有连云港特色的跨境电商发展新路。“十四五”期间自贸试验区连云区块计划累计招引跨境电商企业100家，完成跨境电商交易量4000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第</w:t>
      </w:r>
      <w:r>
        <w:rPr>
          <w:rFonts w:hint="eastAsia" w:ascii="方正小标宋_GBK" w:hAnsi="方正小标宋_GBK" w:eastAsia="方正小标宋_GBK" w:cs="方正小标宋_GBK"/>
          <w:color w:val="auto"/>
          <w:sz w:val="44"/>
          <w:szCs w:val="44"/>
          <w:lang w:val="en-US" w:eastAsia="zh-CN"/>
        </w:rPr>
        <w:t>三</w:t>
      </w:r>
      <w:r>
        <w:rPr>
          <w:rFonts w:hint="eastAsia" w:ascii="方正小标宋_GBK" w:hAnsi="方正小标宋_GBK" w:eastAsia="方正小标宋_GBK" w:cs="方正小标宋_GBK"/>
          <w:color w:val="auto"/>
          <w:sz w:val="44"/>
          <w:szCs w:val="44"/>
        </w:rPr>
        <w:t>章  发展重点</w:t>
      </w:r>
      <w:r>
        <w:rPr>
          <w:rFonts w:hint="eastAsia" w:ascii="方正小标宋_GBK" w:hAnsi="方正小标宋_GBK" w:eastAsia="方正小标宋_GBK" w:cs="方正小标宋_GBK"/>
          <w:color w:val="auto"/>
          <w:sz w:val="44"/>
          <w:szCs w:val="44"/>
          <w:lang w:val="en-US" w:eastAsia="zh-CN"/>
        </w:rPr>
        <w:t>和主要任务</w:t>
      </w:r>
    </w:p>
    <w:p>
      <w:pPr>
        <w:keepNext w:val="0"/>
        <w:keepLines w:val="0"/>
        <w:pageBreakBefore w:val="0"/>
        <w:widowControl w:val="0"/>
        <w:kinsoku/>
        <w:wordWrap/>
        <w:overflowPunct/>
        <w:topLinePunct w:val="0"/>
        <w:autoSpaceDE/>
        <w:autoSpaceDN/>
        <w:bidi w:val="0"/>
        <w:adjustRightInd/>
        <w:snapToGrid/>
        <w:spacing w:line="560" w:lineRule="exact"/>
        <w:ind w:firstLine="506" w:firstLineChars="0"/>
        <w:jc w:val="center"/>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第一节 建设交流合作先行区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一、致力打造区域性交通物流中心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一是提升综合承载功能。</w:t>
      </w:r>
      <w:r>
        <w:rPr>
          <w:rFonts w:hint="default" w:ascii="Times New Roman" w:hAnsi="Times New Roman" w:eastAsia="仿宋_GB2312" w:cs="Times New Roman"/>
          <w:kern w:val="2"/>
          <w:sz w:val="32"/>
          <w:szCs w:val="32"/>
          <w:lang w:val="en-US" w:eastAsia="zh-CN" w:bidi="ar-SA"/>
        </w:rPr>
        <w:t>全面加快上合组织（连云港）国际物流园建设，推进连云港港30万吨级航道二期工程、铁路专用线及场站等重点项目建设。加快集装箱干线港建设，加密通达世界主要港口的货运航线，重点增加欧美远洋航线。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二是提升陆海联运能级。</w:t>
      </w:r>
      <w:r>
        <w:rPr>
          <w:rFonts w:hint="default" w:ascii="Times New Roman" w:hAnsi="Times New Roman" w:eastAsia="仿宋_GB2312" w:cs="Times New Roman"/>
          <w:kern w:val="2"/>
          <w:sz w:val="32"/>
          <w:szCs w:val="32"/>
          <w:lang w:val="en-US" w:eastAsia="zh-CN" w:bidi="ar-SA"/>
        </w:rPr>
        <w:t>支持在自贸试验区内建设省新亚欧大陆桥集装箱多式联运示范工程，优化多种运输方式衔接、中转流程，探索创新多式联运组织模式、统一服务规则、推广应用快速转运装备技术，实现多式联运基础设施有效衔接，健全完善以“一单制”为核心的便捷多式联运体系。完善口岸一站式服务、大宗商品交易、公路货运等平台功能，促进国际中转、中转集拼、甩挂运输、沿海捎带业务发展，逐步将中欧班列（连云港）发展为集跨境电子商务、中转集拼、国际海铁联运等功能于一体的综合系统。推行海运危险货物查验信息化，船舶载运危险货物及污染危害性货物合并申报。积极发展航运金融、国际船舶运输、国际船舶管理、国际航运经纪等产业，积极开展国际航行船舶保税燃油供应业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三是强化物流节点建设。</w:t>
      </w:r>
      <w:r>
        <w:rPr>
          <w:rFonts w:hint="default" w:ascii="Times New Roman" w:hAnsi="Times New Roman" w:eastAsia="仿宋_GB2312" w:cs="Times New Roman"/>
          <w:kern w:val="2"/>
          <w:sz w:val="32"/>
          <w:szCs w:val="32"/>
          <w:lang w:val="en-US" w:eastAsia="zh-CN" w:bidi="ar-SA"/>
        </w:rPr>
        <w:t>以建设境内外物流园区为重点，加快国际物流节点布局和海外物流基地建设，提升中哈（连云港）物流合作基地、上合组织（连云港）国际物流园建设水平，积极培育全程物流供应链企业，深入推进连云港—里海供应链基地项目，不断促进国际运输便利化，加快打造亚欧重要国际交通枢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二、致力打造“一带一路”大数据中心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依托核电等电力资源丰富的优势，建设数据存储、技术研发、应用交易等产业融合发展的产业基地，加快超大规模数据平台、移动数据中心、电信天翼云等一批大数据重点项目建设，推动大数据和信息安全产业集群集聚。积极争取国际、国内光缆铺设，开通国际互联网数据专用通道，实行国际航行船舶进出境通关全流程“一单多报”，搭建新亚欧大陆桥陆海联运电子数据交换通道，打造“一带一路”互联网数据开放交换共享试验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三、致力打造国际远洋渔业交易中心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深入实施海洋兴区战略，全力推动国家海洋经济示范区和国家级海洋牧场示范区建设，争取国家海洋技术创新中心及其分中心优先布局。着力引进深蓝养殖基地，建设南极磷虾产业园、孵化育苗基地、连岛和高公岛现代生态观光渔港，大力发展海产品加工、冷链物流等配套产业，加快形成完整的上下游产业链，打造国内外知名的海产品综合性交易市场。运用智慧海洋产业投资基金，扶持发展海洋高端装备、海洋信息化等领域的成长型企业，建设海洋工程研究院，加快云洲海洋科技港等重点项目建设，力争实现海洋经济发展新突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四、致力打造滨海健康医养中心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高起点规划建设连云新城，建设现代化、国际化、智能化、生态化和具有海滨特色城市新中心和“一带一路”新外滩。探索推进港澳台资按规定设立独资医疗机构，建设脐带血干细胞储存库、外资妇产医院、康养基地等一批项目，加快大健康产业集群集聚。支持药品研发机构和科研人员申报药品上市许可人。争取设立医疗器械审评服务机构，畅通药品器械审评审批“绿色通道”，积极开展医疗器械注册人制度试点工作，扶持有条件的研发机构和科研人员参与医疗器械注册人申报，加快推进医疗器械产业创新发展。支持社会力量办好多层次多样化医疗服务。发展以健康检查、慢病治疗康复、中医养生保健、整形美容为重点的美容医疗、旅游医疗和康复医疗等，培育美容医疗、旅游医疗和康复医疗等医养业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五、致力打造国内外知名的休闲旅游中心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设全域旅游示范区和5A级景区。大力发展邮轮游艇经济，推进海岛旅游开发，完善游艇码头功能，建设邮轮旅游岸上国际配送中心，开发近海、沿海及无目的地邮轮、游艇旅游项目。加强与知名邮轮公司及邮轮旅游批发商合资合作，吸引邮轮航线延伸至连云港，争取邮轮旅游游客入境免签政策，推进旅游便利化。配合申建国家文化和旅游消费试点城市，打造国内知名的休闲度假旅游目的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六、致力打造对外交流国际合作中心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打造“一带一路”国际合作品牌。定期组织召开上合组织国际圆桌会议、新亚欧大陆桥安全走廊国际执法合作论坛（连云港论坛）、新亚欧陆海联运通道司法协作研讨会，推动与“一带一路”沿线国家（地区）的经贸、交通物流、教育、文化、旅游交流合作。二是推进标杆和示范项目建设。加快将连云港―霍尔果斯串联起的新亚欧陆海联运通道打造为“一带一路”合作倡议的标杆和示范项目。加强“一带一路”国际产能合作，吸引外向型企业建设出口产品加工分装、装备组装等出口产品加工基地。探索设立境外股权投资企业，鼓励区内投资机构加大“一带一路”投资并购力度。鼓励建设国别合作创新园区，主动对接中日韩自由贸易区建设。开展与韩国海关关际合作，探索与“一带一路”国家（地区）海关建立关际合作机制，打造开放合作平台。建立“一带一路”海事纠纷处理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第二节 建设转型升级示范区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一、聚力发展现代物流产业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设大宗商品集散中心，支持在自贸试验区依法合规建设能源、工业原材料、大宗农产品等大宗商品交易平台和现货期货交易市场。建设区域混矿中心，开展保税混矿业务，将混矿品种从铁矿砂拓展到铜、锌和铅等多种有色金属矿，加快文盛新材料、鑫顺通选矿项目建设。支持在海关特殊监管区域和保税监管场所，设立大宗商品期货保税交割库，开展期货保税交割、仓单质押融资等业务。推动自贸试验区汽车整车进口口岸建设，积极争取开展二手车出口试点。在风险可控、依法依规前提下，积极开展高技术、高附加值、符合环保要求的旧机电产品维修和再制造，探索开展高端装备绿色再制造试点。探索先进技术装备、关键零部件及其他机电产品（医疗器械等高风险产品除外）等平行进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二、聚力发展总部经济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推动跨国公司在自贸试验区设立地区总部或功能机构，鼓励金融、物流、信息、会展、科技研发、商品和要素交易等专业化服务企业设立国际业务总部、窗口企业和涉外专业服务机构，建设总部企业公共服务中心，打造具有连云特色的总部经济集聚区。促进企业跨境财务结算中心集聚发展，开展跨国公司总部外汇资金集中运营管理。跨境财务结算中心经批准可以进入境内银行间外汇市场交易。支持符合条件的跨国企业集团设立跨境人民币资金池，集中管理集团内人民币资金。探索支持符合条件的总部企业自主进行跨区域外发加工或深加工结转，实行集团总担保。完善企业“一本账册”、信用措施共享等海关监管制度，面向总部企业和研发中心实施注册登记、通关、减免税、保税等业务“一站式”办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三、聚力发展跨境电商产业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完善“点点通”平台系统功能，按照“一点接入”原则，实现政府管理部门间“信息互换、监管互认、执法互助”。推动“点点通”平台与连云港电子口岸平台对接，探索建立标准化数据接口和接入流程。链接金融、物流、电商平台、外贸综合服务企业等各类服务资源，为跨境电商企业和个人提供供应链商务服务。优化海关监管措施，放宽零售进口监管条件，对跨境电商进口商品不执行首次进口许可批件、注册或备案要求，按个人自用进境物品监管。提升税务服务水平，对符合条件的跨境零售出口，落实无票免税以及所得税核定征收的税收政策。积极推行退税无纸化，加快落地实施跨境电商出口企业退税简化管理。培优扶强跨境电商市场主体，支持举办制造企业、外贸企业、电子商务卖家和电子商务平台资源对接会。加快形成跨境电商人才高地，鼓励跨境电子商务企业举办各类技能大赛和创新创业活动，“以赛代培”提高人才素养和创新能力。建立电子商务人才创业创新支持平台和创业孵化机制，支持企业、第三方平台共同参与，建立一批跨境电商企业人才培训基地。实施国家级新亚欧大陆桥集装箱多式联运示范工程，加快开行国际国内海铁联运班列，探索开展“班列购”，利用中欧班列实现国际邮件、快件的搭载运输，着力打造西向以服务、带动“一带一路”沿线国家和地区跨境电商产业发展为核心的国际物流运输大通道。建设国际邮件互换局（交换站）和国际快件监管中心，发展国际快递业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四、聚力发展金融服务业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扩大金融领域对内对外开放。新建金融服务中心，支持依法依规设立中外合资银行、民营银行、保险、证券、公募基金、持牌资产管理机构等法人金融机构及其分支机构，支持设立保险资产管理公司，发展离岸保险业务，鼓励各类保险机构为“走出去”企业提供风险保障。探索投融资汇兑便利化，探索自贸试验区内上市公司外资股东直接参与上市公司配售增发业务，支持外籍员工直接参与境内上市公司股权激励计划。支持自贸试验区内金融机构与“一带一路”沿线国家（地区）的金融机构在符合监管政策的前提下开展银团贷款、联合融资、股权参与、人员交流等多种方式的业务合作。</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二是创新金融服务产品。在有效防范风险基础上，稳妥有序发展供应链金融、航运金融、贸易融资、海外保理等创新型金融产品和业务，积极争取开展债券、股权融资支持工具试点。鼓励符合条件的企业通过发行股票、公司债券等方式融资，提高直接融资比重。全面推进金融租赁、融资租赁行业发展，开展境内外融资租赁业务及与主营业务相关的保理业务。创新绿色金融产品和服务。探索开展外债注销登记下放给银行办理。支持航运领域金融创新，开展建造中船舶抵押登记和船舶融资租赁登记。鼓励金融租赁公司设立项目公司或专业子公司开展租赁业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是推动金融支持科技创新。鼓励商业银行在自贸试验区设立科技支行、小微支行等分支机构，开展科技金融业务。支持探索建立科技企业“白名单”制度，引导银行类金融机构按规定对名单内的企业开展无还本续贷业务，对名单内的高新技术企业提供主动授信。研究设立跨境双向股权投资基金，促进境内外科技企业孵化和科技成果产业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五、聚力发展优势实体产业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主攻优特钢项目建设，依托华乐合金等重点企业建设优特钢基地，拓宽进出口渠道，强化国际产业合作。推进国际合作示范园区建设，持续深化益海、三吉利系列技改等项目建设，逐步形成产品互供的循环经济体系，打造亚洲最大的油脂科技基地和世界最大的苯二酚系列产品基地</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第三节 建设改革发展创新区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一、合力优化公平公正的法治环境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开办企业、办理施工许可证、获得电力、登记财产、获得信贷、保护少数投资者、纳税、跨境贸易、执行合同和办理破产等方面加大与国际通行规则对接力度。建立评估体系，强化竞争政策的基础性地位，实施公平竞争审查制度，清理和取消资质资格获取、招投标、权益保护等方面存在的差别化待遇，实现各类市场主体依法平等准入。推动在自贸试验区内设立专门审判机构，提升法官队伍正规化、专业化、职业化水平。强化贸促会涉外商事调解功能，发展国际商事仲裁、调解等司法替代性解决机制，落实司法确认程序。创新事中事后监管体制机制。建立健全以信用监管为核心、与负面清单管理方式相适应的事中事后监管体系。推行审批告知承诺、市场主体自我信用承诺及第三方信用评价三项信用信息公示，编制公共信用信息“三清单”（数据清单、行为清单、应用清单）。加快推进“互联网+监管”平台建设，创新“双随机、一公开”监管机制。探索制定政府定标准、企业承诺、行业自治、第三方评估、信息共享、协同监管、联合惩戒的市场监管模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二、合力优化行政管理职能与流程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探索建立与自贸试验区建设相适应的行政管理体制，推进综合行政执法体制改革，构建“集中高效审批、分类监管服务、综合行政执法”的基层治理架构。落实市场主体首负责任制，在安全生产、资源节约、环境保护等领域建立市场主体社会责任报告制度和责任追溯制度。承接省级和市级下放的经济社会管理权限。积极争取国家有关部门支持，授权自贸试验区探索高新技术企业认定流程和方式改革。全面推行“互联网+政务服务”模式。扩大“不见面审批（服务）”改革覆盖面。整合信息资源，开放业务系统实时数据，加快构建以企业需求为导向、大数据分析为支撑的一体化“互联网+政务服务”体系。实施“1220”改革。深化商事制度改革，推进“证照分离”改革全覆盖，持续推动“多证合一”。推进登记注册便利化，放宽住所（经营场所）登记条件。创新税务事项处理，深化办税缴费便利化改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三、合力优化外资投资便利环境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面实行自由贸易试验区外商投资特别管理措施（负面清单）。自贸试验区负面清单之外的领域，按照内外资一致原则实施管理。做好外资经营国际船舶管理业务备案下放权限的承接。允许外商投资企业将资本项目收入划转或结汇依法用于境内股权投资。对实行核准制的投资项目推行“多评合一、多图联审、区域评估、联合验收”等模式。扩大外商投资领域。允许自贸试验区内外商独资建筑企业不受投资比例限制，承揽中外联合建设项目。支持外商独资设立经营性教育培训和职业技能培训机构。支持国内外科研机构在自贸试验区设立分支机构。鼓励与国外知名高校开展中外合作办学。支持外商投资设立航空运输销售代理企业。积极探索实施国际船舶登记制度，支持外资和合资航运公司入驻自贸试验区。支持外国船舶检验机构在自贸试验区开展船舶入级检验，并逐步放开船舶法定检验。创新土地开发利用监管模式。自贸试验区内土地可以按不同功能用途混合利用，允许同一地块或同一建筑兼容多种功能，产业用地可实行弹性年期供应，根据产业政策和项目类别可采取先租后让、租让结合、弹性出让等供地措施。完善工业企业资源集约利用综合评价机制，实行资源要素差别化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四、合力优化投资合作服务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探索建立外商投资信息报告制度和信息公示制度。建立健全外商投资服务体系，完善外商投资促进、项目跟踪服务和投诉工作机制。推动投资促进、企业服务的市场化运作，加强与境内外投资促进机构合作，引导高质量外资项目集聚。推广市场化招商模式，成立企业化招商机构。建立完善政府招商引资诚信制度。实施重大外资项目“直通车”制度，定期协调解决自贸试验区利用外资的重大关键性问题。依法化解各类矛盾纠纷，加大产权保护力度，维护各类市场主体的合法权益。提升境外投资合作服务。将自贸试验区建设成为企业“走出去”的窗口和综合服务平台。创新境外投资服务，推行境外投资备案管理“单一窗口”模式。投资境外非贸易类实体项目的自贸试验区内企业因外保内贷履约形成对外债务时，应办理外债登记，并纳入全口径跨境融资宏观审慎管理。支持自贸试验区内企业参与“一带一路”建设，加强与有关国家（地区）的投资合作和互联互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五、合力优化人才服务模式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加快推进连云区块创新创业中心建设，在上海、杭州等地建设离岸创新创业基地，提供场租减免等优惠政策，吸引离岸高层次人才和项目入驻；探索在海外建设离岸创新创业基地，为集聚海外人才智力资源搭建平台。在自贸试验区开展职业资格国际互认试点，争取国家授权允许港澳律师直接在自贸试验区内从事涉外涉港澳业务。优化完善高层次人才引进激励办法，探索放宽自贸试验区聘雇高层次和急需紧缺专业人才条件限制，允许外籍及港澳台地区专业人才按规定在自贸试验区工作，为在自贸试验区工作、创业、交流访问的外国人提供出入境、居留和永久性居留便利。完善人才金融服务体系，提高对创新创业人才金融支持力度，支持人才跨境金融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第</w:t>
      </w:r>
      <w:r>
        <w:rPr>
          <w:rFonts w:hint="eastAsia" w:ascii="方正小标宋_GBK" w:hAnsi="方正小标宋_GBK" w:eastAsia="方正小标宋_GBK" w:cs="方正小标宋_GBK"/>
          <w:color w:val="auto"/>
          <w:sz w:val="44"/>
          <w:szCs w:val="44"/>
          <w:lang w:val="en-US" w:eastAsia="zh-CN"/>
        </w:rPr>
        <w:t>四</w:t>
      </w:r>
      <w:r>
        <w:rPr>
          <w:rFonts w:hint="eastAsia" w:ascii="方正小标宋_GBK" w:hAnsi="方正小标宋_GBK" w:eastAsia="方正小标宋_GBK" w:cs="方正小标宋_GBK"/>
          <w:color w:val="auto"/>
          <w:sz w:val="44"/>
          <w:szCs w:val="44"/>
        </w:rPr>
        <w:t>章  规划实施保障</w:t>
      </w:r>
    </w:p>
    <w:p>
      <w:pPr>
        <w:keepNext w:val="0"/>
        <w:keepLines w:val="0"/>
        <w:pageBreakBefore w:val="0"/>
        <w:widowControl w:val="0"/>
        <w:kinsoku/>
        <w:wordWrap/>
        <w:overflowPunct/>
        <w:topLinePunct w:val="0"/>
        <w:autoSpaceDE/>
        <w:autoSpaceDN/>
        <w:bidi w:val="0"/>
        <w:adjustRightInd/>
        <w:snapToGrid/>
        <w:spacing w:line="560" w:lineRule="exact"/>
        <w:ind w:firstLine="506" w:firstLineChars="0"/>
        <w:jc w:val="center"/>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第一节 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在中国（江苏）自由贸易试验区连云港片区工作领导小组领导下，完善自贸试验区连云区块建设领导小组</w:t>
      </w:r>
      <w:r>
        <w:rPr>
          <w:rFonts w:hint="eastAsia" w:ascii="Times New Roman" w:hAnsi="Times New Roman" w:eastAsia="仿宋_GB2312" w:cs="Times New Roman"/>
          <w:kern w:val="2"/>
          <w:sz w:val="32"/>
          <w:szCs w:val="32"/>
          <w:lang w:val="en-US" w:eastAsia="zh-CN" w:bidi="ar-SA"/>
        </w:rPr>
        <w:t>职能</w:t>
      </w:r>
      <w:r>
        <w:rPr>
          <w:rFonts w:hint="default" w:ascii="Times New Roman" w:hAnsi="Times New Roman" w:eastAsia="仿宋_GB2312" w:cs="Times New Roman"/>
          <w:kern w:val="2"/>
          <w:sz w:val="32"/>
          <w:szCs w:val="32"/>
          <w:lang w:val="en-US" w:eastAsia="zh-CN" w:bidi="ar-SA"/>
        </w:rPr>
        <w:t>，强化主体责任，完善工作机制，加快各项任务落实。全力争取国家和省市相关部门的大力支持，出台配套扶持政策。实施过程中注意研究新情况，解决新问题，总结新经验，重大问题及时向市委、市政府和自贸试验区连云港片区管委会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第二节 做好重大风险识别防范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制定重大风险防控规划和制度，坚持底线思维，着力防范化解重大风险。配合做好外商投资安全审查工作。加强金融风险识别防范，探索监管科技应用，提升防范金融风险能力。推动建立金融监管协调机制，加强金融风险监测分析，及时化解处置金融风险隐患。加强部门协调联动，强化反洗钱、反恐怖融资、反逃税工作。</w:t>
      </w:r>
    </w:p>
    <w:p>
      <w:pPr>
        <w:keepNext w:val="0"/>
        <w:keepLines w:val="0"/>
        <w:pageBreakBefore w:val="0"/>
        <w:widowControl w:val="0"/>
        <w:kinsoku/>
        <w:wordWrap/>
        <w:overflowPunct/>
        <w:topLinePunct w:val="0"/>
        <w:autoSpaceDE/>
        <w:autoSpaceDN/>
        <w:bidi w:val="0"/>
        <w:adjustRightInd/>
        <w:snapToGrid/>
        <w:spacing w:line="560" w:lineRule="exact"/>
        <w:ind w:firstLine="506" w:firstLineChars="0"/>
        <w:jc w:val="center"/>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第三节 强化区域联动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协调海关、海事、港口、税务等驻区单位建立联席会议制度，定期通报情况、协调问题、联动创新、协同发展。加强自贸试验区与各类经济功能区联动发展，形成全域一盘棋的良好局面。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第四节 实施考核激励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建立容错纠错和正向激励机制，鼓励改革创新。严格落实“三个区分开来”要求，进一步完善澄清正名、容错纠错工作机制，全力撑腰干事创业、保护改革创新，旗帜鲜明为担当者担当、对负责者负责。</w:t>
      </w:r>
      <w:r>
        <w:rPr>
          <w:rFonts w:hint="eastAsia" w:ascii="Times New Roman" w:hAnsi="Times New Roman" w:eastAsia="仿宋_GB2312" w:cs="Times New Roman"/>
          <w:kern w:val="2"/>
          <w:sz w:val="32"/>
          <w:szCs w:val="32"/>
          <w:lang w:val="en-US" w:eastAsia="zh-CN" w:bidi="ar-SA"/>
        </w:rPr>
        <w:t>对</w:t>
      </w:r>
      <w:r>
        <w:rPr>
          <w:rFonts w:hint="default" w:ascii="Times New Roman" w:hAnsi="Times New Roman" w:eastAsia="仿宋_GB2312" w:cs="Times New Roman"/>
          <w:kern w:val="2"/>
          <w:sz w:val="32"/>
          <w:szCs w:val="32"/>
          <w:lang w:val="en-US" w:eastAsia="zh-CN" w:bidi="ar-SA"/>
        </w:rPr>
        <w:t>敢闯敢试、干事创业</w:t>
      </w:r>
      <w:r>
        <w:rPr>
          <w:rFonts w:hint="eastAsia" w:ascii="Times New Roman" w:hAnsi="Times New Roman" w:eastAsia="仿宋_GB2312" w:cs="Times New Roman"/>
          <w:kern w:val="2"/>
          <w:sz w:val="32"/>
          <w:szCs w:val="32"/>
          <w:lang w:val="en-US" w:eastAsia="zh-CN" w:bidi="ar-SA"/>
        </w:rPr>
        <w:t>的领导干部进行正面考核激励和荣誉激励，激发</w:t>
      </w:r>
      <w:r>
        <w:rPr>
          <w:rFonts w:hint="default" w:ascii="Times New Roman" w:hAnsi="Times New Roman" w:eastAsia="仿宋_GB2312" w:cs="Times New Roman"/>
          <w:kern w:val="2"/>
          <w:sz w:val="32"/>
          <w:szCs w:val="32"/>
          <w:lang w:val="en-US" w:eastAsia="zh-CN" w:bidi="ar-SA"/>
        </w:rPr>
        <w:t>改革创新</w:t>
      </w:r>
      <w:r>
        <w:rPr>
          <w:rFonts w:hint="eastAsia" w:ascii="Times New Roman" w:hAnsi="Times New Roman" w:eastAsia="仿宋_GB2312" w:cs="Times New Roman"/>
          <w:kern w:val="2"/>
          <w:sz w:val="32"/>
          <w:szCs w:val="32"/>
          <w:lang w:val="en-US" w:eastAsia="zh-CN" w:bidi="ar-SA"/>
        </w:rPr>
        <w:t>的热情和动力，精准评价让先行者先进，使有为者有位</w:t>
      </w:r>
      <w:r>
        <w:rPr>
          <w:rFonts w:hint="default" w:ascii="Times New Roman" w:hAnsi="Times New Roman" w:eastAsia="仿宋_GB2312"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第五节 营造良好氛围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牢固树立全区“一盘棋”思想，全员投入自贸试验区建设，进一步对照任务、压实责任，解放思想、敢想敢试，全面督查、严格考核，着力在规划引领、硬件载体、软件服务、项目集聚、典型案例等方面务求实效、形成突破，确保各项重点任务落到实处，以实实在在的发展业绩彰显连云区块建设成果。加强自贸试验区创新政策措施解读，做好统计监测分析工作，多渠道宣传推介自贸试验区建设进展及成效，营造共同推进自贸试验区建设的良好氛围。</w:t>
      </w:r>
    </w:p>
    <w:sectPr>
      <w:footerReference r:id="rId8" w:type="default"/>
      <w:pgSz w:w="11906" w:h="16838"/>
      <w:pgMar w:top="2098" w:right="1474" w:bottom="153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altName w:val="宋体"/>
    <w:panose1 w:val="0201060900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rPr>
        <w:rStyle w:val="8"/>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8"/>
      </w:rPr>
    </w:pPr>
    <w:r>
      <w:rPr>
        <w:rStyle w:val="8"/>
      </w:rPr>
      <w:fldChar w:fldCharType="begin"/>
    </w:r>
    <w:r>
      <w:rPr>
        <w:rStyle w:val="8"/>
      </w:rPr>
      <w:instrText xml:space="preserve">PAGE  </w:instrText>
    </w:r>
    <w:r>
      <w:rPr>
        <w:rStyle w:val="8"/>
      </w:rP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rPr>
        <w:rStyle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TYxMDM5NDMwZmFlNWFkNmMyYzBjZGZjN2ZmNjkifQ=="/>
  </w:docVars>
  <w:rsids>
    <w:rsidRoot w:val="77000DF3"/>
    <w:rsid w:val="02FD0313"/>
    <w:rsid w:val="0D9D07E7"/>
    <w:rsid w:val="0FCA2889"/>
    <w:rsid w:val="102A19A2"/>
    <w:rsid w:val="185274F0"/>
    <w:rsid w:val="2A617012"/>
    <w:rsid w:val="2C5575A4"/>
    <w:rsid w:val="2FF64635"/>
    <w:rsid w:val="303B6C1E"/>
    <w:rsid w:val="307A1537"/>
    <w:rsid w:val="35FA6BA5"/>
    <w:rsid w:val="4C37693B"/>
    <w:rsid w:val="51210A68"/>
    <w:rsid w:val="568C77EA"/>
    <w:rsid w:val="5C036E64"/>
    <w:rsid w:val="616B239B"/>
    <w:rsid w:val="629D3D11"/>
    <w:rsid w:val="62A466D3"/>
    <w:rsid w:val="63D71F15"/>
    <w:rsid w:val="68A94D42"/>
    <w:rsid w:val="76827BEE"/>
    <w:rsid w:val="77000DF3"/>
    <w:rsid w:val="7A2B6603"/>
    <w:rsid w:val="7BE0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3"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3"/>
    <w:pPr>
      <w:ind w:firstLine="0" w:firstLineChars="0"/>
      <w:jc w:val="center"/>
    </w:pPr>
    <w:rPr>
      <w:rFonts w:ascii="文星标宋" w:hAnsi="Cambria" w:eastAsia="文星标宋"/>
      <w:bCs/>
      <w:kern w:val="0"/>
      <w:sz w:val="44"/>
      <w:szCs w:val="32"/>
    </w:rPr>
  </w:style>
  <w:style w:type="character" w:styleId="8">
    <w:name w:val="page number"/>
    <w:basedOn w:val="7"/>
    <w:qFormat/>
    <w:uiPriority w:val="0"/>
  </w:style>
  <w:style w:type="paragraph" w:customStyle="1" w:styleId="9">
    <w:name w:val="p0"/>
    <w:basedOn w:val="1"/>
    <w:qFormat/>
    <w:uiPriority w:val="0"/>
    <w:pPr>
      <w:widowControl/>
      <w:spacing w:before="100" w:beforeAutospacing="1" w:after="100" w:afterAutospacing="1"/>
      <w:ind w:firstLine="0" w:firstLineChars="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11377</Words>
  <Characters>11480</Characters>
  <Lines>0</Lines>
  <Paragraphs>0</Paragraphs>
  <TotalTime>1</TotalTime>
  <ScaleCrop>false</ScaleCrop>
  <LinksUpToDate>false</LinksUpToDate>
  <CharactersWithSpaces>11548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2021-07-09T01:34:00Z</dcterms:created>
  <dc:creator>Administrator</dc:creator>
  <cp:lastModifiedBy>栗子</cp:lastModifiedBy>
  <dcterms:modified xsi:type="dcterms:W3CDTF">2022-07-05T03:00:29Z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FB6C2C7CBFC64674863F10AE0F18ABA6</vt:lpwstr>
  </property>
</Properties>
</file>