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lang w:eastAsia="zh-CN"/>
        </w:rPr>
        <w:t>连云区</w:t>
      </w:r>
      <w:r>
        <w:rPr>
          <w:rFonts w:hint="eastAsia" w:ascii="方正小标宋_GBK" w:hAnsi="方正小标宋_GBK" w:eastAsia="方正小标宋_GBK" w:cs="方正小标宋_GBK"/>
          <w:snapToGrid w:val="0"/>
          <w:sz w:val="44"/>
          <w:szCs w:val="44"/>
        </w:rPr>
        <w:t>202</w:t>
      </w:r>
      <w:r>
        <w:rPr>
          <w:rFonts w:hint="eastAsia" w:ascii="方正小标宋_GBK" w:hAnsi="方正小标宋_GBK" w:eastAsia="方正小标宋_GBK" w:cs="方正小标宋_GBK"/>
          <w:snapToGrid w:val="0"/>
          <w:sz w:val="44"/>
          <w:szCs w:val="44"/>
          <w:lang w:val="en-US" w:eastAsia="zh-CN"/>
        </w:rPr>
        <w:t>4</w:t>
      </w:r>
      <w:r>
        <w:rPr>
          <w:rFonts w:hint="eastAsia" w:ascii="方正小标宋_GBK" w:hAnsi="方正小标宋_GBK" w:eastAsia="方正小标宋_GBK" w:cs="方正小标宋_GBK"/>
          <w:snapToGrid w:val="0"/>
          <w:sz w:val="44"/>
          <w:szCs w:val="44"/>
        </w:rPr>
        <w:t>年度“双随机、一公开”</w:t>
      </w:r>
      <w:r>
        <w:rPr>
          <w:rFonts w:hint="eastAsia" w:ascii="方正小标宋_GBK" w:hAnsi="方正小标宋_GBK" w:eastAsia="方正小标宋_GBK" w:cs="方正小标宋_GBK"/>
          <w:snapToGrid w:val="0"/>
          <w:sz w:val="44"/>
          <w:szCs w:val="44"/>
          <w:lang w:eastAsia="zh-CN"/>
        </w:rPr>
        <w:t>单一</w:t>
      </w:r>
      <w:r>
        <w:rPr>
          <w:rFonts w:hint="eastAsia" w:ascii="方正小标宋_GBK" w:hAnsi="方正小标宋_GBK" w:eastAsia="方正小标宋_GBK" w:cs="方正小标宋_GBK"/>
          <w:snapToGrid w:val="0"/>
          <w:sz w:val="44"/>
          <w:szCs w:val="44"/>
        </w:rPr>
        <w:t>监管计划</w:t>
      </w:r>
    </w:p>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农业农村</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随机抽查计划</w:t>
      </w:r>
    </w:p>
    <w:tbl>
      <w:tblPr>
        <w:tblStyle w:val="6"/>
        <w:tblW w:w="5861" w:type="pct"/>
        <w:tblInd w:w="-9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8"/>
        <w:gridCol w:w="1771"/>
        <w:gridCol w:w="1966"/>
        <w:gridCol w:w="2131"/>
        <w:gridCol w:w="1531"/>
        <w:gridCol w:w="1245"/>
        <w:gridCol w:w="1318"/>
        <w:gridCol w:w="1455"/>
        <w:gridCol w:w="1248"/>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58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646" w:type="pct"/>
            <w:vAlign w:val="center"/>
          </w:tcPr>
          <w:p>
            <w:pPr>
              <w:pStyle w:val="2"/>
              <w:spacing w:line="400" w:lineRule="exact"/>
              <w:jc w:val="both"/>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70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50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40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43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47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410"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599"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0" w:hRule="atLeast"/>
        </w:trPr>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项目招、投标检查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对电子招标投标活动、水利工程建设项目招投标活动的行政检查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参与电子招标投标的单位和个人、水利工程建设项目招投标单位</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非现场检查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监理工程师执业资格检查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对监理工程师执业资格进行检查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监理工程师</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非现场检查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3</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生产建设项目水土保持检查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对水土保持方案落实情况的行政检查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生产建设单位/个人</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非现场检查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4</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编制洪水影响评价报告非防洪建设项目检查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对编制洪水影响评价报告非防洪建设项目的行政检查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建设单位、个人</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非现场检查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5</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防洪、防汛设施检查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对蓄滞洪区避洪设施建设、防汛责任落实情况、对防汛设施的行政检查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蓄滞洪区避洪设施建设的单位/个人、各类防洪设施、防汛设施责任单位</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50%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0" w:hRule="atLeast"/>
        </w:trPr>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6</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农田水利检查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对占用农业灌溉水源、灌排工程设施进行检查</w:t>
            </w:r>
          </w:p>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对开垦荒坡地防止水土流失措施落实情况的行政检查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占用农业灌溉水源、灌排工程设施的单位/个人</w:t>
            </w:r>
          </w:p>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开垦荒坡地的单位/个人</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7</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农产品质量安全检查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对农产品质量安全的行政检查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农户</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现场检查、抽样检测</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5</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区农业农村局综合科（农业）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8</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拖拉机和联合收割机检查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对拖拉机和联合收割机的行政检查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拖拉机和联合收割机拥有者</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区农业农村局综合科（农业）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9</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动物及动物产品检疫检查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对动物及动物产品检疫合格证的行政检查</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单位、个人</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现场检查、书面检查</w:t>
            </w:r>
          </w:p>
        </w:tc>
        <w:tc>
          <w:tcPr>
            <w:tcW w:w="40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区农业农村局综合科（农业）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水利工程管理检查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水利</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水利工程</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409"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50%</w:t>
            </w:r>
          </w:p>
        </w:tc>
        <w:tc>
          <w:tcPr>
            <w:tcW w:w="433"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11</w:t>
            </w:r>
          </w:p>
        </w:tc>
        <w:tc>
          <w:tcPr>
            <w:tcW w:w="582"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河道管理检查</w:t>
            </w:r>
          </w:p>
        </w:tc>
        <w:tc>
          <w:tcPr>
            <w:tcW w:w="646"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水利</w:t>
            </w:r>
          </w:p>
        </w:tc>
        <w:tc>
          <w:tcPr>
            <w:tcW w:w="70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河道</w:t>
            </w:r>
          </w:p>
        </w:tc>
        <w:tc>
          <w:tcPr>
            <w:tcW w:w="50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409"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433"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7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1年/次</w:t>
            </w:r>
          </w:p>
        </w:tc>
        <w:tc>
          <w:tcPr>
            <w:tcW w:w="410"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59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区农业农村局综合科（水利）</w:t>
            </w:r>
          </w:p>
        </w:tc>
      </w:tr>
    </w:tbl>
    <w:p>
      <w:pPr>
        <w:widowControl/>
        <w:jc w:val="center"/>
        <w:rPr>
          <w:rFonts w:hint="eastAsia" w:ascii="Times New Roman" w:hAnsi="Times New Roman" w:eastAsia="方正小标宋_GBK" w:cs="Times New Roman"/>
          <w:kern w:val="0"/>
          <w:sz w:val="36"/>
          <w:szCs w:val="36"/>
          <w:u w:val="single"/>
          <w:lang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民宗局</w:t>
      </w:r>
      <w:r>
        <w:rPr>
          <w:rFonts w:ascii="Times New Roman" w:hAnsi="Times New Roman" w:eastAsia="方正小标宋_GBK" w:cs="Times New Roman"/>
          <w:kern w:val="0"/>
          <w:sz w:val="36"/>
          <w:szCs w:val="36"/>
        </w:rPr>
        <w:t>随机抽查计划</w:t>
      </w:r>
    </w:p>
    <w:tbl>
      <w:tblPr>
        <w:tblStyle w:val="6"/>
        <w:tblW w:w="5868" w:type="pct"/>
        <w:tblInd w:w="-9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1673"/>
        <w:gridCol w:w="2417"/>
        <w:gridCol w:w="1710"/>
        <w:gridCol w:w="1186"/>
        <w:gridCol w:w="1545"/>
        <w:gridCol w:w="1423"/>
        <w:gridCol w:w="1365"/>
        <w:gridCol w:w="1664"/>
        <w:gridCol w:w="1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54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79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56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8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50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46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44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54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77"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54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宗教场所检查</w:t>
            </w:r>
          </w:p>
        </w:tc>
        <w:tc>
          <w:tcPr>
            <w:tcW w:w="79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对宗教活动场所内部管理和举办活动情况的行政检查</w:t>
            </w:r>
          </w:p>
        </w:tc>
        <w:tc>
          <w:tcPr>
            <w:tcW w:w="561"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宗教活动场所</w:t>
            </w:r>
          </w:p>
        </w:tc>
        <w:tc>
          <w:tcPr>
            <w:tcW w:w="38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507"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3%</w:t>
            </w:r>
          </w:p>
        </w:tc>
        <w:tc>
          <w:tcPr>
            <w:tcW w:w="467"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44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1次/年</w:t>
            </w:r>
          </w:p>
        </w:tc>
        <w:tc>
          <w:tcPr>
            <w:tcW w:w="546" w:type="pct"/>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477" w:type="pct"/>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区民宗局</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气象局</w:t>
      </w:r>
      <w:r>
        <w:rPr>
          <w:rFonts w:ascii="Times New Roman" w:hAnsi="Times New Roman" w:eastAsia="方正小标宋_GBK" w:cs="Times New Roman"/>
          <w:kern w:val="0"/>
          <w:sz w:val="36"/>
          <w:szCs w:val="36"/>
        </w:rPr>
        <w:t>随机抽查计划</w:t>
      </w:r>
    </w:p>
    <w:tbl>
      <w:tblPr>
        <w:tblStyle w:val="6"/>
        <w:tblW w:w="5868" w:type="pct"/>
        <w:tblInd w:w="-9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1673"/>
        <w:gridCol w:w="2417"/>
        <w:gridCol w:w="1710"/>
        <w:gridCol w:w="1186"/>
        <w:gridCol w:w="1545"/>
        <w:gridCol w:w="1423"/>
        <w:gridCol w:w="1365"/>
        <w:gridCol w:w="1664"/>
        <w:gridCol w:w="1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54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79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56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8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50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46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44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54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77"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54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企业雷电防护安全监管</w:t>
            </w:r>
          </w:p>
        </w:tc>
        <w:tc>
          <w:tcPr>
            <w:tcW w:w="793"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雷电防护安全</w:t>
            </w:r>
          </w:p>
        </w:tc>
        <w:tc>
          <w:tcPr>
            <w:tcW w:w="561"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易燃易爆企业</w:t>
            </w:r>
          </w:p>
        </w:tc>
        <w:tc>
          <w:tcPr>
            <w:tcW w:w="389"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507"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3%</w:t>
            </w:r>
          </w:p>
        </w:tc>
        <w:tc>
          <w:tcPr>
            <w:tcW w:w="46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w:t>
            </w:r>
          </w:p>
        </w:tc>
        <w:tc>
          <w:tcPr>
            <w:tcW w:w="448"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1次/年</w:t>
            </w:r>
          </w:p>
        </w:tc>
        <w:tc>
          <w:tcPr>
            <w:tcW w:w="546" w:type="pct"/>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477" w:type="pct"/>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区气象局</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司法</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随机抽查计划</w:t>
      </w:r>
    </w:p>
    <w:tbl>
      <w:tblPr>
        <w:tblStyle w:val="6"/>
        <w:tblW w:w="5874" w:type="pct"/>
        <w:tblInd w:w="-9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8"/>
        <w:gridCol w:w="1205"/>
        <w:gridCol w:w="4792"/>
        <w:gridCol w:w="1260"/>
        <w:gridCol w:w="1214"/>
        <w:gridCol w:w="1187"/>
        <w:gridCol w:w="1214"/>
        <w:gridCol w:w="1229"/>
        <w:gridCol w:w="1202"/>
        <w:gridCol w:w="1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395"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157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41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9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38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39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40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394"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393"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39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律师行业检查</w:t>
            </w:r>
          </w:p>
        </w:tc>
        <w:tc>
          <w:tcPr>
            <w:tcW w:w="1571"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律师事务所（分所）投诉查处、年度检查考核、规范管理检查、遵守法律法规检查等情况的行政检查；对律师投诉查处、年度检查考核、遵守执业纪律和职业道德检查等情况的行政检查；对律师事务所、基层法律服务所及律师、基层法律服务工作者履行法律援助义务、为受援人提供符合标准的法律服务、依法维护受援人合法权益的行政检查。</w:t>
            </w:r>
          </w:p>
        </w:tc>
        <w:tc>
          <w:tcPr>
            <w:tcW w:w="413"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律师事务所</w:t>
            </w:r>
          </w:p>
        </w:tc>
        <w:tc>
          <w:tcPr>
            <w:tcW w:w="39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389"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14%</w:t>
            </w:r>
          </w:p>
        </w:tc>
        <w:tc>
          <w:tcPr>
            <w:tcW w:w="39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03"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1次/年</w:t>
            </w:r>
          </w:p>
        </w:tc>
        <w:tc>
          <w:tcPr>
            <w:tcW w:w="394"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393"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区司法局公证律师管理科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39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公证行业检查</w:t>
            </w:r>
          </w:p>
        </w:tc>
        <w:tc>
          <w:tcPr>
            <w:tcW w:w="1571"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对公证机构和公证员的执业情况、公证质量的监控情况的行政检查；对公证员办理公证业务情况的行政检查。</w:t>
            </w:r>
          </w:p>
        </w:tc>
        <w:tc>
          <w:tcPr>
            <w:tcW w:w="413"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公证处</w:t>
            </w:r>
          </w:p>
        </w:tc>
        <w:tc>
          <w:tcPr>
            <w:tcW w:w="39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现场检查</w:t>
            </w:r>
          </w:p>
        </w:tc>
        <w:tc>
          <w:tcPr>
            <w:tcW w:w="389"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100%</w:t>
            </w:r>
          </w:p>
        </w:tc>
        <w:tc>
          <w:tcPr>
            <w:tcW w:w="39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403"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1次/年</w:t>
            </w:r>
          </w:p>
        </w:tc>
        <w:tc>
          <w:tcPr>
            <w:tcW w:w="394"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区级</w:t>
            </w:r>
          </w:p>
        </w:tc>
        <w:tc>
          <w:tcPr>
            <w:tcW w:w="393"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区司法局公证律师管理科</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商务局</w:t>
      </w:r>
      <w:r>
        <w:rPr>
          <w:rFonts w:ascii="Times New Roman" w:hAnsi="Times New Roman" w:eastAsia="方正小标宋_GBK" w:cs="Times New Roman"/>
          <w:kern w:val="0"/>
          <w:sz w:val="36"/>
          <w:szCs w:val="36"/>
        </w:rPr>
        <w:t>随机抽查计划</w:t>
      </w:r>
    </w:p>
    <w:tbl>
      <w:tblPr>
        <w:tblStyle w:val="6"/>
        <w:tblW w:w="5891" w:type="pct"/>
        <w:tblInd w:w="-9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5"/>
        <w:gridCol w:w="2144"/>
        <w:gridCol w:w="2475"/>
        <w:gridCol w:w="2190"/>
        <w:gridCol w:w="1291"/>
        <w:gridCol w:w="1337"/>
        <w:gridCol w:w="1184"/>
        <w:gridCol w:w="1291"/>
        <w:gridCol w:w="1303"/>
        <w:gridCol w:w="12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70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80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71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42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43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38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42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42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16"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70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对全区外资企业年度报告的检查</w:t>
            </w:r>
          </w:p>
        </w:tc>
        <w:tc>
          <w:tcPr>
            <w:tcW w:w="809"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年报公示信息检查</w:t>
            </w:r>
          </w:p>
        </w:tc>
        <w:tc>
          <w:tcPr>
            <w:tcW w:w="71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全区外资企业</w:t>
            </w:r>
          </w:p>
        </w:tc>
        <w:tc>
          <w:tcPr>
            <w:tcW w:w="422"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网络检查</w:t>
            </w:r>
          </w:p>
        </w:tc>
        <w:tc>
          <w:tcPr>
            <w:tcW w:w="43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3%</w:t>
            </w:r>
          </w:p>
        </w:tc>
        <w:tc>
          <w:tcPr>
            <w:tcW w:w="38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3</w:t>
            </w:r>
          </w:p>
        </w:tc>
        <w:tc>
          <w:tcPr>
            <w:tcW w:w="422"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426"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市县</w:t>
            </w:r>
          </w:p>
        </w:tc>
        <w:tc>
          <w:tcPr>
            <w:tcW w:w="416"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外经贸科</w:t>
            </w:r>
          </w:p>
        </w:tc>
      </w:tr>
    </w:tbl>
    <w:p>
      <w:pPr>
        <w:widowControl/>
        <w:jc w:val="both"/>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生态环境</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随机抽查计划</w:t>
      </w:r>
    </w:p>
    <w:tbl>
      <w:tblPr>
        <w:tblStyle w:val="6"/>
        <w:tblW w:w="6034" w:type="pct"/>
        <w:tblInd w:w="-135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8"/>
        <w:gridCol w:w="1225"/>
        <w:gridCol w:w="4344"/>
        <w:gridCol w:w="1752"/>
        <w:gridCol w:w="1244"/>
        <w:gridCol w:w="1229"/>
        <w:gridCol w:w="1276"/>
        <w:gridCol w:w="1216"/>
        <w:gridCol w:w="1244"/>
        <w:gridCol w:w="12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39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138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55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9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39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40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38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397"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01"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pPr>
              <w:pStyle w:val="2"/>
              <w:spacing w:line="300" w:lineRule="exact"/>
              <w:jc w:val="center"/>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val="en-US" w:eastAsia="zh-CN"/>
              </w:rPr>
              <w:t>1</w:t>
            </w:r>
          </w:p>
        </w:tc>
        <w:tc>
          <w:tcPr>
            <w:tcW w:w="39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对重点排污单位检查</w:t>
            </w:r>
          </w:p>
        </w:tc>
        <w:tc>
          <w:tcPr>
            <w:tcW w:w="138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建设项目投入生产或者使用后所产生的环境影响进行跟踪检查的行政检查、对城镇污水集中处理设施的行政检查、对排放环境噪声的单位的行政检查对大气污染防治实施的行政检查、对水污染防治工作的行政检查、对从事危险废物收集、贮存、处置经营活动的单位的行政检查、对企业事业单位、其他生产经营者排污许可证的行政检查</w:t>
            </w:r>
          </w:p>
        </w:tc>
        <w:tc>
          <w:tcPr>
            <w:tcW w:w="559"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辖区排污单位</w:t>
            </w:r>
          </w:p>
        </w:tc>
        <w:tc>
          <w:tcPr>
            <w:tcW w:w="39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w:t>
            </w:r>
          </w:p>
        </w:tc>
        <w:tc>
          <w:tcPr>
            <w:tcW w:w="392"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50%</w:t>
            </w:r>
          </w:p>
        </w:tc>
        <w:tc>
          <w:tcPr>
            <w:tcW w:w="407" w:type="pct"/>
            <w:vAlign w:val="center"/>
          </w:tcPr>
          <w:p>
            <w:pPr>
              <w:pStyle w:val="2"/>
              <w:spacing w:line="300" w:lineRule="exact"/>
              <w:jc w:val="both"/>
              <w:rPr>
                <w:rFonts w:hint="default"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8</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1次/1年</w:t>
            </w:r>
          </w:p>
        </w:tc>
        <w:tc>
          <w:tcPr>
            <w:tcW w:w="397"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w:t>
            </w:r>
          </w:p>
        </w:tc>
        <w:tc>
          <w:tcPr>
            <w:tcW w:w="401"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连云生态环境局执法局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pPr>
              <w:pStyle w:val="2"/>
              <w:spacing w:line="300" w:lineRule="exact"/>
              <w:jc w:val="center"/>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eastAsia="zh-CN"/>
              </w:rPr>
              <w:t>2</w:t>
            </w:r>
          </w:p>
        </w:tc>
        <w:tc>
          <w:tcPr>
            <w:tcW w:w="39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对一般排污单位检查</w:t>
            </w:r>
          </w:p>
        </w:tc>
        <w:tc>
          <w:tcPr>
            <w:tcW w:w="138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建设项目投入生产或者使用后所产生的环境影响进行跟踪检查的行政检查、对城镇污水集中处理设施的行政检查、对排放环境噪声的单位的行政检查对大气污染防治实施的行政检查、对水污染防治工作的行政检查、对从事危险废物收集、贮存、处置经营活动的单位的行政检查、对企业事业单位、其他生产经营者排污许可证的行政检查</w:t>
            </w:r>
          </w:p>
        </w:tc>
        <w:tc>
          <w:tcPr>
            <w:tcW w:w="559"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辖区排污单位</w:t>
            </w:r>
          </w:p>
        </w:tc>
        <w:tc>
          <w:tcPr>
            <w:tcW w:w="39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w:t>
            </w:r>
          </w:p>
        </w:tc>
        <w:tc>
          <w:tcPr>
            <w:tcW w:w="392"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20%</w:t>
            </w:r>
          </w:p>
        </w:tc>
        <w:tc>
          <w:tcPr>
            <w:tcW w:w="407" w:type="pct"/>
            <w:vAlign w:val="center"/>
          </w:tcPr>
          <w:p>
            <w:pPr>
              <w:pStyle w:val="2"/>
              <w:spacing w:line="300" w:lineRule="exact"/>
              <w:jc w:val="both"/>
              <w:rPr>
                <w:rFonts w:hint="default"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40</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1次/1年</w:t>
            </w:r>
          </w:p>
        </w:tc>
        <w:tc>
          <w:tcPr>
            <w:tcW w:w="39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w:t>
            </w:r>
          </w:p>
        </w:tc>
        <w:tc>
          <w:tcPr>
            <w:tcW w:w="40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连云生态环境局执法局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7" w:type="pct"/>
            <w:vAlign w:val="center"/>
          </w:tcPr>
          <w:p>
            <w:pPr>
              <w:pStyle w:val="2"/>
              <w:spacing w:line="300" w:lineRule="exact"/>
              <w:jc w:val="center"/>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val="en-US" w:eastAsia="zh-CN"/>
              </w:rPr>
              <w:t>3</w:t>
            </w:r>
          </w:p>
        </w:tc>
        <w:tc>
          <w:tcPr>
            <w:tcW w:w="39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对铀（钍）矿和伴生放射性矿开发利用的检查</w:t>
            </w:r>
          </w:p>
        </w:tc>
        <w:tc>
          <w:tcPr>
            <w:tcW w:w="138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伴生放射性矿开发利用企业和废旧金属熔炼企业执法检查</w:t>
            </w:r>
          </w:p>
        </w:tc>
        <w:tc>
          <w:tcPr>
            <w:tcW w:w="559"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辐射安全许可证的核技术利用单位、伴生放射性矿开发利用企业和废旧金属熔炼企业</w:t>
            </w:r>
          </w:p>
        </w:tc>
        <w:tc>
          <w:tcPr>
            <w:tcW w:w="39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w:t>
            </w:r>
          </w:p>
        </w:tc>
        <w:tc>
          <w:tcPr>
            <w:tcW w:w="392"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40%</w:t>
            </w:r>
          </w:p>
        </w:tc>
        <w:tc>
          <w:tcPr>
            <w:tcW w:w="407" w:type="pct"/>
            <w:vAlign w:val="center"/>
          </w:tcPr>
          <w:p>
            <w:pPr>
              <w:pStyle w:val="2"/>
              <w:spacing w:line="300" w:lineRule="exact"/>
              <w:jc w:val="both"/>
              <w:rPr>
                <w:rFonts w:hint="default"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6</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1次/1年</w:t>
            </w:r>
          </w:p>
        </w:tc>
        <w:tc>
          <w:tcPr>
            <w:tcW w:w="39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w:t>
            </w:r>
          </w:p>
        </w:tc>
        <w:tc>
          <w:tcPr>
            <w:tcW w:w="401"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连云生态环境局执法局</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林海局</w:t>
      </w:r>
      <w:r>
        <w:rPr>
          <w:rFonts w:ascii="Times New Roman" w:hAnsi="Times New Roman" w:eastAsia="方正小标宋_GBK" w:cs="Times New Roman"/>
          <w:kern w:val="0"/>
          <w:sz w:val="36"/>
          <w:szCs w:val="36"/>
        </w:rPr>
        <w:t>随机抽查计划</w:t>
      </w:r>
    </w:p>
    <w:tbl>
      <w:tblPr>
        <w:tblStyle w:val="6"/>
        <w:tblW w:w="6105" w:type="pct"/>
        <w:tblInd w:w="-14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7"/>
        <w:gridCol w:w="1817"/>
        <w:gridCol w:w="3256"/>
        <w:gridCol w:w="1921"/>
        <w:gridCol w:w="1921"/>
        <w:gridCol w:w="1214"/>
        <w:gridCol w:w="1230"/>
        <w:gridCol w:w="1183"/>
        <w:gridCol w:w="1186"/>
        <w:gridCol w:w="14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57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102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60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60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38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38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37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374"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49"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w:t>
            </w:r>
          </w:p>
        </w:tc>
        <w:tc>
          <w:tcPr>
            <w:tcW w:w="5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海域使用检查</w:t>
            </w:r>
          </w:p>
        </w:tc>
        <w:tc>
          <w:tcPr>
            <w:tcW w:w="102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对海域使用情况的行政检查</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公民、法人或其他组织</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现场检查、书面检查、网络检查、专业机构核查</w:t>
            </w:r>
          </w:p>
        </w:tc>
        <w:tc>
          <w:tcPr>
            <w:tcW w:w="38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3％</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2</w:t>
            </w:r>
          </w:p>
        </w:tc>
        <w:tc>
          <w:tcPr>
            <w:tcW w:w="3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区林海局动管中心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5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水产苗种生产许可证检查</w:t>
            </w:r>
          </w:p>
        </w:tc>
        <w:tc>
          <w:tcPr>
            <w:tcW w:w="102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对水产苗种生产许可证的行政检查</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水产苗种生产企业</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w:t>
            </w:r>
          </w:p>
        </w:tc>
        <w:tc>
          <w:tcPr>
            <w:tcW w:w="38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50%</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3</w:t>
            </w:r>
          </w:p>
        </w:tc>
        <w:tc>
          <w:tcPr>
            <w:tcW w:w="3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区林海局渔技站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3</w:t>
            </w:r>
          </w:p>
        </w:tc>
        <w:tc>
          <w:tcPr>
            <w:tcW w:w="5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森林资源检查</w:t>
            </w:r>
          </w:p>
        </w:tc>
        <w:tc>
          <w:tcPr>
            <w:tcW w:w="102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对森林资源的行政检查</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森林资源利用者</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现场检查、电话抽查</w:t>
            </w:r>
          </w:p>
        </w:tc>
        <w:tc>
          <w:tcPr>
            <w:tcW w:w="38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区林海局林业科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4</w:t>
            </w:r>
          </w:p>
        </w:tc>
        <w:tc>
          <w:tcPr>
            <w:tcW w:w="5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自然保护地检查</w:t>
            </w:r>
          </w:p>
        </w:tc>
        <w:tc>
          <w:tcPr>
            <w:tcW w:w="102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对自然保护地的行政检查</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在自然保护地内开展活动的单位和个人</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w:t>
            </w:r>
          </w:p>
        </w:tc>
        <w:tc>
          <w:tcPr>
            <w:tcW w:w="38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区林海局林业科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5</w:t>
            </w:r>
          </w:p>
        </w:tc>
        <w:tc>
          <w:tcPr>
            <w:tcW w:w="5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林草种子生产经营许可检查</w:t>
            </w:r>
          </w:p>
        </w:tc>
        <w:tc>
          <w:tcPr>
            <w:tcW w:w="1027"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对林草种子生产经营许可的行政检查</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本级核发《种子生产经营许可证》的企业</w:t>
            </w:r>
          </w:p>
        </w:tc>
        <w:tc>
          <w:tcPr>
            <w:tcW w:w="606"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现场检查、书面检查、网络检查</w:t>
            </w:r>
          </w:p>
        </w:tc>
        <w:tc>
          <w:tcPr>
            <w:tcW w:w="38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区林海局林技站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6</w:t>
            </w:r>
          </w:p>
        </w:tc>
        <w:tc>
          <w:tcPr>
            <w:tcW w:w="5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种子、苗木和其他繁殖材料的繁育单位检查</w:t>
            </w:r>
          </w:p>
        </w:tc>
        <w:tc>
          <w:tcPr>
            <w:tcW w:w="1027"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对种子、苗木和其他繁殖材料的繁育单位的行政检查</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苗木调运企业</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现场检查、非现场检查</w:t>
            </w:r>
          </w:p>
        </w:tc>
        <w:tc>
          <w:tcPr>
            <w:tcW w:w="38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区林海局林技站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7</w:t>
            </w:r>
          </w:p>
        </w:tc>
        <w:tc>
          <w:tcPr>
            <w:tcW w:w="5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苗木调运企业检查</w:t>
            </w:r>
          </w:p>
        </w:tc>
        <w:tc>
          <w:tcPr>
            <w:tcW w:w="1027"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对从省外调入规定必须检疫的森林植物及其产品的行政检查</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苗木调运企业</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现场检查、非现场检查</w:t>
            </w:r>
          </w:p>
        </w:tc>
        <w:tc>
          <w:tcPr>
            <w:tcW w:w="38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区林海局林技站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8</w:t>
            </w:r>
          </w:p>
        </w:tc>
        <w:tc>
          <w:tcPr>
            <w:tcW w:w="5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湿地公园检查</w:t>
            </w:r>
          </w:p>
        </w:tc>
        <w:tc>
          <w:tcPr>
            <w:tcW w:w="1027"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对湿地公园的行政检查</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湿地公园</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现场检查、非现场检查</w:t>
            </w:r>
          </w:p>
        </w:tc>
        <w:tc>
          <w:tcPr>
            <w:tcW w:w="38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区林海局林业科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7" w:type="pct"/>
            <w:vAlign w:val="center"/>
          </w:tcPr>
          <w:p>
            <w:pPr>
              <w:pStyle w:val="2"/>
              <w:spacing w:line="300" w:lineRule="exact"/>
              <w:jc w:val="center"/>
              <w:rPr>
                <w:rFonts w:hint="default"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9</w:t>
            </w:r>
          </w:p>
        </w:tc>
        <w:tc>
          <w:tcPr>
            <w:tcW w:w="5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省级重要湿地检查</w:t>
            </w:r>
          </w:p>
        </w:tc>
        <w:tc>
          <w:tcPr>
            <w:tcW w:w="1027"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对省级重要湿地的行政检查</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省级重要湿地</w:t>
            </w:r>
          </w:p>
        </w:tc>
        <w:tc>
          <w:tcPr>
            <w:tcW w:w="606"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现场检查、非现场检查</w:t>
            </w:r>
          </w:p>
        </w:tc>
        <w:tc>
          <w:tcPr>
            <w:tcW w:w="38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5%</w:t>
            </w:r>
          </w:p>
        </w:tc>
        <w:tc>
          <w:tcPr>
            <w:tcW w:w="388"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w:t>
            </w:r>
          </w:p>
        </w:tc>
        <w:tc>
          <w:tcPr>
            <w:tcW w:w="373" w:type="pct"/>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1次/年</w:t>
            </w:r>
          </w:p>
        </w:tc>
        <w:tc>
          <w:tcPr>
            <w:tcW w:w="374" w:type="pct"/>
            <w:tcBorders>
              <w:right w:val="single" w:color="auto" w:sz="4" w:space="0"/>
            </w:tcBorders>
            <w:vAlign w:val="center"/>
          </w:tcPr>
          <w:p>
            <w:pPr>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区级</w:t>
            </w:r>
          </w:p>
        </w:tc>
        <w:tc>
          <w:tcPr>
            <w:tcW w:w="449"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区林海局林业科</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住建局</w:t>
      </w:r>
      <w:r>
        <w:rPr>
          <w:rFonts w:ascii="Times New Roman" w:hAnsi="Times New Roman" w:eastAsia="方正小标宋_GBK" w:cs="Times New Roman"/>
          <w:kern w:val="0"/>
          <w:sz w:val="36"/>
          <w:szCs w:val="36"/>
        </w:rPr>
        <w:t>随机抽查计划</w:t>
      </w:r>
    </w:p>
    <w:tbl>
      <w:tblPr>
        <w:tblStyle w:val="6"/>
        <w:tblW w:w="5960" w:type="pct"/>
        <w:tblInd w:w="-102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2167"/>
        <w:gridCol w:w="3244"/>
        <w:gridCol w:w="1315"/>
        <w:gridCol w:w="1244"/>
        <w:gridCol w:w="1699"/>
        <w:gridCol w:w="1198"/>
        <w:gridCol w:w="1213"/>
        <w:gridCol w:w="1216"/>
        <w:gridCol w:w="13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70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104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425"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40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54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387"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39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393"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44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1</w:t>
            </w:r>
          </w:p>
        </w:tc>
        <w:tc>
          <w:tcPr>
            <w:tcW w:w="700"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其他建设工程消防验收备案检查</w:t>
            </w:r>
          </w:p>
        </w:tc>
        <w:tc>
          <w:tcPr>
            <w:tcW w:w="104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对其他建设工程消防验收备案的行政检查</w:t>
            </w:r>
          </w:p>
        </w:tc>
        <w:tc>
          <w:tcPr>
            <w:tcW w:w="42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其他建设工程的建设单位</w:t>
            </w:r>
          </w:p>
        </w:tc>
        <w:tc>
          <w:tcPr>
            <w:tcW w:w="40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非现场检查</w:t>
            </w:r>
          </w:p>
        </w:tc>
        <w:tc>
          <w:tcPr>
            <w:tcW w:w="549"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人员密集场所50%，非人员密集场所5%</w:t>
            </w:r>
          </w:p>
        </w:tc>
        <w:tc>
          <w:tcPr>
            <w:tcW w:w="387"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根据实际情况确定</w:t>
            </w:r>
          </w:p>
        </w:tc>
        <w:tc>
          <w:tcPr>
            <w:tcW w:w="39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1次/年</w:t>
            </w:r>
          </w:p>
        </w:tc>
        <w:tc>
          <w:tcPr>
            <w:tcW w:w="393"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eastAsia="zh-CN"/>
              </w:rPr>
              <w:t>区级</w:t>
            </w:r>
          </w:p>
        </w:tc>
        <w:tc>
          <w:tcPr>
            <w:tcW w:w="44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区住建局安全科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w:t>
            </w:r>
          </w:p>
        </w:tc>
        <w:tc>
          <w:tcPr>
            <w:tcW w:w="700"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监理单位履行质量责任和义务检查</w:t>
            </w:r>
          </w:p>
        </w:tc>
        <w:tc>
          <w:tcPr>
            <w:tcW w:w="1048"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对监理单位履行质量责任和义务的行政检查</w:t>
            </w:r>
          </w:p>
        </w:tc>
        <w:tc>
          <w:tcPr>
            <w:tcW w:w="425"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监理单位</w:t>
            </w:r>
          </w:p>
        </w:tc>
        <w:tc>
          <w:tcPr>
            <w:tcW w:w="40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现场检查</w:t>
            </w:r>
          </w:p>
        </w:tc>
        <w:tc>
          <w:tcPr>
            <w:tcW w:w="549"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20</w:t>
            </w:r>
            <w:r>
              <w:rPr>
                <w:rFonts w:hint="eastAsia" w:ascii="仿宋" w:hAnsi="仿宋" w:eastAsia="仿宋" w:cs="仿宋"/>
                <w:snapToGrid w:val="0"/>
                <w:sz w:val="24"/>
                <w:szCs w:val="24"/>
              </w:rPr>
              <w:t>%</w:t>
            </w:r>
          </w:p>
        </w:tc>
        <w:tc>
          <w:tcPr>
            <w:tcW w:w="387"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3</w:t>
            </w:r>
          </w:p>
        </w:tc>
        <w:tc>
          <w:tcPr>
            <w:tcW w:w="392" w:type="pct"/>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1次/年</w:t>
            </w:r>
          </w:p>
        </w:tc>
        <w:tc>
          <w:tcPr>
            <w:tcW w:w="393"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区级</w:t>
            </w:r>
          </w:p>
        </w:tc>
        <w:tc>
          <w:tcPr>
            <w:tcW w:w="44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质安站</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市场</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随机抽查计划</w:t>
      </w:r>
    </w:p>
    <w:tbl>
      <w:tblPr>
        <w:tblStyle w:val="6"/>
        <w:tblW w:w="5989" w:type="pct"/>
        <w:tblInd w:w="-10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2311"/>
        <w:gridCol w:w="2609"/>
        <w:gridCol w:w="2146"/>
        <w:gridCol w:w="1185"/>
        <w:gridCol w:w="1216"/>
        <w:gridCol w:w="1275"/>
        <w:gridCol w:w="1228"/>
        <w:gridCol w:w="1216"/>
        <w:gridCol w:w="1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74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83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检查事项</w:t>
            </w:r>
          </w:p>
        </w:tc>
        <w:tc>
          <w:tcPr>
            <w:tcW w:w="69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8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39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抽取比例</w:t>
            </w:r>
          </w:p>
        </w:tc>
        <w:tc>
          <w:tcPr>
            <w:tcW w:w="41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抽取数量</w:t>
            </w:r>
          </w:p>
        </w:tc>
        <w:tc>
          <w:tcPr>
            <w:tcW w:w="395"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39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51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val="en-US" w:eastAsia="zh-CN"/>
              </w:rPr>
              <w:t>1</w:t>
            </w:r>
          </w:p>
        </w:tc>
        <w:tc>
          <w:tcPr>
            <w:tcW w:w="743" w:type="pct"/>
            <w:vAlign w:val="center"/>
          </w:tcPr>
          <w:p>
            <w:pPr>
              <w:pStyle w:val="2"/>
              <w:adjustRightInd w:val="0"/>
              <w:snapToGrid w:val="0"/>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rPr>
              <w:t>化妆品经营检查</w:t>
            </w:r>
          </w:p>
        </w:tc>
        <w:tc>
          <w:tcPr>
            <w:tcW w:w="839" w:type="pct"/>
            <w:vAlign w:val="center"/>
          </w:tcPr>
          <w:p>
            <w:pPr>
              <w:pStyle w:val="2"/>
              <w:adjustRightInd w:val="0"/>
              <w:snapToGrid w:val="0"/>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rPr>
              <w:t>对化妆品经营企业的行政检查</w:t>
            </w:r>
          </w:p>
        </w:tc>
        <w:tc>
          <w:tcPr>
            <w:tcW w:w="690" w:type="pct"/>
            <w:vAlign w:val="center"/>
          </w:tcPr>
          <w:p>
            <w:pPr>
              <w:pStyle w:val="2"/>
              <w:adjustRightInd w:val="0"/>
              <w:snapToGrid w:val="0"/>
              <w:spacing w:line="300" w:lineRule="exact"/>
              <w:jc w:val="lef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rPr>
              <w:t>母婴专卖店、宾馆等化妆品经营企业</w:t>
            </w:r>
          </w:p>
        </w:tc>
        <w:tc>
          <w:tcPr>
            <w:tcW w:w="381" w:type="pct"/>
            <w:vAlign w:val="center"/>
          </w:tcPr>
          <w:p>
            <w:pPr>
              <w:pStyle w:val="2"/>
              <w:adjustRightInd w:val="0"/>
              <w:snapToGrid w:val="0"/>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rPr>
              <w:t>现场检查</w:t>
            </w:r>
          </w:p>
        </w:tc>
        <w:tc>
          <w:tcPr>
            <w:tcW w:w="391" w:type="pct"/>
            <w:vAlign w:val="center"/>
          </w:tcPr>
          <w:p>
            <w:pPr>
              <w:pStyle w:val="2"/>
              <w:adjustRightInd w:val="0"/>
              <w:snapToGrid w:val="0"/>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w:t>
            </w:r>
          </w:p>
        </w:tc>
        <w:tc>
          <w:tcPr>
            <w:tcW w:w="410" w:type="pct"/>
            <w:vAlign w:val="center"/>
          </w:tcPr>
          <w:p>
            <w:pPr>
              <w:pStyle w:val="2"/>
              <w:adjustRightInd w:val="0"/>
              <w:snapToGrid w:val="0"/>
              <w:spacing w:line="300" w:lineRule="exact"/>
              <w:jc w:val="both"/>
              <w:rPr>
                <w:rFonts w:hint="default" w:ascii="仿宋" w:hAnsi="仿宋" w:eastAsia="仿宋" w:cs="仿宋"/>
                <w:snapToGrid w:val="0"/>
                <w:kern w:val="0"/>
                <w:sz w:val="24"/>
                <w:szCs w:val="24"/>
                <w:highlight w:val="yellow"/>
                <w:lang w:val="en-US" w:eastAsia="zh-CN" w:bidi="ar-SA"/>
              </w:rPr>
            </w:pPr>
            <w:r>
              <w:rPr>
                <w:rFonts w:hint="eastAsia" w:ascii="仿宋" w:hAnsi="仿宋" w:eastAsia="仿宋" w:cs="仿宋"/>
                <w:snapToGrid w:val="0"/>
                <w:kern w:val="0"/>
                <w:sz w:val="24"/>
                <w:szCs w:val="24"/>
                <w:highlight w:val="none"/>
                <w:lang w:val="en-US" w:eastAsia="zh-CN" w:bidi="ar-SA"/>
              </w:rPr>
              <w:t>30</w:t>
            </w:r>
          </w:p>
        </w:tc>
        <w:tc>
          <w:tcPr>
            <w:tcW w:w="395" w:type="pct"/>
            <w:vAlign w:val="center"/>
          </w:tcPr>
          <w:p>
            <w:pPr>
              <w:pStyle w:val="2"/>
              <w:adjustRightInd w:val="0"/>
              <w:snapToGrid w:val="0"/>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rPr>
              <w:t>1次/年</w:t>
            </w:r>
          </w:p>
        </w:tc>
        <w:tc>
          <w:tcPr>
            <w:tcW w:w="391" w:type="pct"/>
            <w:tcBorders>
              <w:right w:val="single" w:color="auto" w:sz="4" w:space="0"/>
            </w:tcBorders>
            <w:vAlign w:val="center"/>
          </w:tcPr>
          <w:p>
            <w:pPr>
              <w:pStyle w:val="2"/>
              <w:adjustRightInd w:val="0"/>
              <w:snapToGrid w:val="0"/>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eastAsia="zh-CN"/>
              </w:rPr>
              <w:t>区级</w:t>
            </w:r>
          </w:p>
        </w:tc>
        <w:tc>
          <w:tcPr>
            <w:tcW w:w="515" w:type="pct"/>
            <w:tcBorders>
              <w:left w:val="single" w:color="auto" w:sz="4" w:space="0"/>
            </w:tcBorders>
            <w:vAlign w:val="center"/>
          </w:tcPr>
          <w:p>
            <w:pPr>
              <w:pStyle w:val="2"/>
              <w:adjustRightInd w:val="0"/>
              <w:snapToGrid w:val="0"/>
              <w:spacing w:line="300" w:lineRule="exact"/>
              <w:jc w:val="both"/>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2</w:t>
            </w:r>
          </w:p>
        </w:tc>
        <w:tc>
          <w:tcPr>
            <w:tcW w:w="743" w:type="pct"/>
            <w:vAlign w:val="center"/>
          </w:tcPr>
          <w:p>
            <w:pPr>
              <w:pStyle w:val="2"/>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检验检测机构检查</w:t>
            </w:r>
          </w:p>
        </w:tc>
        <w:tc>
          <w:tcPr>
            <w:tcW w:w="839" w:type="pct"/>
            <w:vAlign w:val="center"/>
          </w:tcPr>
          <w:p>
            <w:pPr>
              <w:pStyle w:val="2"/>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检验检测机构检查</w:t>
            </w:r>
          </w:p>
        </w:tc>
        <w:tc>
          <w:tcPr>
            <w:tcW w:w="690" w:type="pct"/>
            <w:vAlign w:val="center"/>
          </w:tcPr>
          <w:p>
            <w:pPr>
              <w:pStyle w:val="2"/>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全区</w:t>
            </w:r>
            <w:r>
              <w:rPr>
                <w:rFonts w:hint="eastAsia" w:ascii="仿宋_GB2312" w:hAnsi="仿宋_GB2312" w:eastAsia="仿宋_GB2312" w:cs="仿宋_GB2312"/>
                <w:snapToGrid w:val="0"/>
                <w:sz w:val="24"/>
                <w:szCs w:val="24"/>
                <w:lang w:val="en-US" w:eastAsia="zh-CN"/>
              </w:rPr>
              <w:t>检测机构检查</w:t>
            </w:r>
          </w:p>
        </w:tc>
        <w:tc>
          <w:tcPr>
            <w:tcW w:w="381"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50%</w:t>
            </w:r>
          </w:p>
        </w:tc>
        <w:tc>
          <w:tcPr>
            <w:tcW w:w="410"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1</w:t>
            </w:r>
          </w:p>
        </w:tc>
        <w:tc>
          <w:tcPr>
            <w:tcW w:w="395"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拍卖等重要领域市场规范管理检查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拍卖活动经营资格检查、文物经营活动经营资格检查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全区拍卖企业</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2</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4</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直销企业检查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对</w:t>
            </w:r>
            <w:r>
              <w:rPr>
                <w:rFonts w:hint="eastAsia" w:ascii="仿宋_GB2312" w:hAnsi="仿宋_GB2312" w:eastAsia="仿宋_GB2312" w:cs="仿宋_GB2312"/>
                <w:snapToGrid w:val="0"/>
                <w:sz w:val="24"/>
                <w:szCs w:val="24"/>
                <w:lang w:val="en-US" w:eastAsia="zh-CN"/>
              </w:rPr>
              <w:t>直销企业的</w:t>
            </w:r>
            <w:r>
              <w:rPr>
                <w:rFonts w:hint="eastAsia" w:ascii="仿宋_GB2312" w:hAnsi="仿宋_GB2312" w:eastAsia="仿宋_GB2312" w:cs="仿宋_GB2312"/>
                <w:snapToGrid w:val="0"/>
                <w:sz w:val="24"/>
                <w:szCs w:val="24"/>
              </w:rPr>
              <w:t>行政检查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直销企业</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highlight w:val="none"/>
                <w:shd w:val="clear" w:color="auto" w:fill="auto"/>
                <w:lang w:val="en-US" w:eastAsia="zh-CN" w:bidi="ar-SA"/>
              </w:rPr>
            </w:pPr>
            <w:r>
              <w:rPr>
                <w:rFonts w:hint="eastAsia" w:ascii="仿宋_GB2312" w:hAnsi="仿宋_GB2312" w:eastAsia="仿宋_GB2312" w:cs="仿宋_GB2312"/>
                <w:snapToGrid w:val="0"/>
                <w:kern w:val="0"/>
                <w:sz w:val="24"/>
                <w:szCs w:val="24"/>
                <w:highlight w:val="none"/>
                <w:shd w:val="clear" w:color="auto" w:fill="auto"/>
                <w:lang w:val="en-US" w:eastAsia="zh-CN" w:bidi="ar-SA"/>
              </w:rPr>
              <w:t>10%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highlight w:val="none"/>
                <w:shd w:val="clear" w:color="auto" w:fill="auto"/>
                <w:lang w:val="en-US" w:eastAsia="zh-CN" w:bidi="ar-SA"/>
              </w:rPr>
            </w:pPr>
            <w:r>
              <w:rPr>
                <w:rFonts w:hint="eastAsia" w:ascii="仿宋_GB2312" w:hAnsi="仿宋_GB2312" w:eastAsia="仿宋_GB2312" w:cs="仿宋_GB2312"/>
                <w:snapToGrid w:val="0"/>
                <w:kern w:val="0"/>
                <w:sz w:val="24"/>
                <w:szCs w:val="24"/>
                <w:highlight w:val="none"/>
                <w:shd w:val="clear" w:color="auto" w:fill="auto"/>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定量包装商品净含量计量监督专项抽查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定量包装商品净含量计量监督专项抽查、食品相关产品质量安全监督检查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定量包装食品生产单位</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6</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计量监督检查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能效标识计量专项监督检查、水效标识计量专项监督检查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计量相关企业</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7</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农民专业合作社专项检查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集体商标、证明商标（含地理标志）使用的检查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农民专业合作社</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20%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2</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8</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强制性产品认证、检验检测活动及结果的合规检查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强制性产品认证、检验检测活动及结果的合规性、有效性检查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强制性产品认证指定认证机构、指定实验室</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9</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有机认证产品认证有效性抽查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有机认证产品认证有效性抽查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有机认证目录内的获证产品</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10</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产品质量监督抽查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生产领域产品质量监督抽查、食品相关产品质量安全监督检查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市场或企业仓库中待售产品</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3%</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11</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工业产品生产许可证产品生产企业检查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工业产品生产许可资格检查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获证企业</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12</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企业标准自我声明监督检查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企业标准自我声明监督检查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企业</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50%</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2</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13</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专利真实性监督检查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产品专利宣传真实性的检查</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各类市场主体</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w:t>
            </w:r>
          </w:p>
        </w:tc>
        <w:tc>
          <w:tcPr>
            <w:tcW w:w="41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区市场监管局综合执法办公室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 w:type="pct"/>
            <w:vAlign w:val="center"/>
          </w:tcPr>
          <w:p>
            <w:pPr>
              <w:pStyle w:val="2"/>
              <w:spacing w:line="300" w:lineRule="exact"/>
              <w:jc w:val="center"/>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14</w:t>
            </w:r>
          </w:p>
        </w:tc>
        <w:tc>
          <w:tcPr>
            <w:tcW w:w="743"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商标代理行为检查</w:t>
            </w:r>
          </w:p>
        </w:tc>
        <w:tc>
          <w:tcPr>
            <w:tcW w:w="839"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商标代理行为</w:t>
            </w:r>
          </w:p>
        </w:tc>
        <w:tc>
          <w:tcPr>
            <w:tcW w:w="69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商标代理机构</w:t>
            </w:r>
          </w:p>
        </w:tc>
        <w:tc>
          <w:tcPr>
            <w:tcW w:w="38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现场检查</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5%</w:t>
            </w:r>
          </w:p>
        </w:tc>
        <w:tc>
          <w:tcPr>
            <w:tcW w:w="410" w:type="pct"/>
            <w:vAlign w:val="center"/>
          </w:tcPr>
          <w:p>
            <w:pPr>
              <w:pStyle w:val="2"/>
              <w:adjustRightInd w:val="0"/>
              <w:snapToGrid w:val="0"/>
              <w:spacing w:line="300" w:lineRule="exact"/>
              <w:jc w:val="both"/>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1</w:t>
            </w:r>
          </w:p>
        </w:tc>
        <w:tc>
          <w:tcPr>
            <w:tcW w:w="39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rPr>
              <w:t>1次/年</w:t>
            </w:r>
          </w:p>
        </w:tc>
        <w:tc>
          <w:tcPr>
            <w:tcW w:w="39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区级</w:t>
            </w:r>
          </w:p>
        </w:tc>
        <w:tc>
          <w:tcPr>
            <w:tcW w:w="515"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eastAsia="zh-CN"/>
              </w:rPr>
              <w:t>区市场监管局属地分局</w:t>
            </w:r>
          </w:p>
        </w:tc>
      </w:tr>
    </w:tbl>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lang w:eastAsia="zh-CN"/>
        </w:rPr>
      </w:pPr>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A447D3-3452-4A0D-B20B-F983402301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E582AAD-C0C4-43DE-B5A2-7B2446471AA7}"/>
  </w:font>
  <w:font w:name="方正小标宋_GBK">
    <w:panose1 w:val="02000000000000000000"/>
    <w:charset w:val="86"/>
    <w:family w:val="auto"/>
    <w:pitch w:val="default"/>
    <w:sig w:usb0="00000001" w:usb1="080E0000" w:usb2="00000000" w:usb3="00000000" w:csb0="00040000" w:csb1="00000000"/>
    <w:embedRegular r:id="rId3" w:fontKey="{4BBF50A6-2B2C-47C9-B718-CDB81D638EF7}"/>
  </w:font>
  <w:font w:name="方正黑体_GBK">
    <w:panose1 w:val="03000509000000000000"/>
    <w:charset w:val="86"/>
    <w:family w:val="script"/>
    <w:pitch w:val="default"/>
    <w:sig w:usb0="00000001" w:usb1="080E0000" w:usb2="00000000" w:usb3="00000000" w:csb0="00040000" w:csb1="00000000"/>
    <w:embedRegular r:id="rId4" w:fontKey="{895CC9A1-E109-4AC2-B3F4-E210DEA68435}"/>
  </w:font>
  <w:font w:name="仿宋_GB2312">
    <w:panose1 w:val="02010609030101010101"/>
    <w:charset w:val="86"/>
    <w:family w:val="auto"/>
    <w:pitch w:val="default"/>
    <w:sig w:usb0="00000001" w:usb1="080E0000" w:usb2="00000000" w:usb3="00000000" w:csb0="00040000" w:csb1="00000000"/>
    <w:embedRegular r:id="rId5" w:fontKey="{5F2CE9A0-9525-4D2B-84D2-6D9969EC0279}"/>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zMwNTAwZjhkYmY1NTYyZGFmOGY5ODQ0NzRlOTcifQ=="/>
  </w:docVars>
  <w:rsids>
    <w:rsidRoot w:val="2FB25FFE"/>
    <w:rsid w:val="00976388"/>
    <w:rsid w:val="01396E1E"/>
    <w:rsid w:val="01E234B2"/>
    <w:rsid w:val="02013325"/>
    <w:rsid w:val="02935CB8"/>
    <w:rsid w:val="02DC24B9"/>
    <w:rsid w:val="02E63847"/>
    <w:rsid w:val="02E82052"/>
    <w:rsid w:val="02F553F7"/>
    <w:rsid w:val="030F42A0"/>
    <w:rsid w:val="036F39FE"/>
    <w:rsid w:val="04C23F06"/>
    <w:rsid w:val="04CE074A"/>
    <w:rsid w:val="05040B72"/>
    <w:rsid w:val="054413BC"/>
    <w:rsid w:val="05BA6078"/>
    <w:rsid w:val="061071FD"/>
    <w:rsid w:val="06F0324D"/>
    <w:rsid w:val="077946F5"/>
    <w:rsid w:val="08061B18"/>
    <w:rsid w:val="0892064F"/>
    <w:rsid w:val="09A03EDE"/>
    <w:rsid w:val="09F856EA"/>
    <w:rsid w:val="0A31466E"/>
    <w:rsid w:val="0A384D1A"/>
    <w:rsid w:val="0A613B29"/>
    <w:rsid w:val="0A783593"/>
    <w:rsid w:val="0A805DAC"/>
    <w:rsid w:val="0AA361BB"/>
    <w:rsid w:val="0B72567A"/>
    <w:rsid w:val="0BDE0828"/>
    <w:rsid w:val="0C057EC4"/>
    <w:rsid w:val="0C880CBE"/>
    <w:rsid w:val="0C8C4794"/>
    <w:rsid w:val="0CE36EE1"/>
    <w:rsid w:val="0D153BF3"/>
    <w:rsid w:val="0D2D6456"/>
    <w:rsid w:val="0D305621"/>
    <w:rsid w:val="0D5A5A7C"/>
    <w:rsid w:val="0D6C6927"/>
    <w:rsid w:val="0D815336"/>
    <w:rsid w:val="0DEF71E2"/>
    <w:rsid w:val="0F576599"/>
    <w:rsid w:val="0F6F0731"/>
    <w:rsid w:val="10F041A7"/>
    <w:rsid w:val="11487723"/>
    <w:rsid w:val="11D755F1"/>
    <w:rsid w:val="11D87D3E"/>
    <w:rsid w:val="12000123"/>
    <w:rsid w:val="12D13E0C"/>
    <w:rsid w:val="12EA4FB8"/>
    <w:rsid w:val="132073D1"/>
    <w:rsid w:val="13C7313C"/>
    <w:rsid w:val="14256957"/>
    <w:rsid w:val="14D60224"/>
    <w:rsid w:val="150B7B7B"/>
    <w:rsid w:val="151D6282"/>
    <w:rsid w:val="159D2409"/>
    <w:rsid w:val="16466CE3"/>
    <w:rsid w:val="16845544"/>
    <w:rsid w:val="171C33F2"/>
    <w:rsid w:val="17AF423F"/>
    <w:rsid w:val="180C6BE2"/>
    <w:rsid w:val="184452D8"/>
    <w:rsid w:val="18D72D4C"/>
    <w:rsid w:val="19070867"/>
    <w:rsid w:val="190C6910"/>
    <w:rsid w:val="196A76A5"/>
    <w:rsid w:val="19F93685"/>
    <w:rsid w:val="1A8D3D3C"/>
    <w:rsid w:val="1A97379A"/>
    <w:rsid w:val="1B4560C7"/>
    <w:rsid w:val="1B6D3582"/>
    <w:rsid w:val="1BA62CAA"/>
    <w:rsid w:val="1BF43C15"/>
    <w:rsid w:val="1C476CF2"/>
    <w:rsid w:val="1C4F32BF"/>
    <w:rsid w:val="1C5231A9"/>
    <w:rsid w:val="1C673DD6"/>
    <w:rsid w:val="1C75261C"/>
    <w:rsid w:val="1C8403F4"/>
    <w:rsid w:val="1CDF3473"/>
    <w:rsid w:val="1D160C18"/>
    <w:rsid w:val="1D590977"/>
    <w:rsid w:val="1DAF340D"/>
    <w:rsid w:val="1DEB415A"/>
    <w:rsid w:val="1E234F5E"/>
    <w:rsid w:val="1EBF4546"/>
    <w:rsid w:val="1F3E5A4E"/>
    <w:rsid w:val="1FA86077"/>
    <w:rsid w:val="1FB87FC7"/>
    <w:rsid w:val="2025476B"/>
    <w:rsid w:val="209A7EE6"/>
    <w:rsid w:val="20A76F67"/>
    <w:rsid w:val="20B34CB4"/>
    <w:rsid w:val="20DC2DA5"/>
    <w:rsid w:val="21433B72"/>
    <w:rsid w:val="220314C4"/>
    <w:rsid w:val="220F0DD2"/>
    <w:rsid w:val="222C7DCE"/>
    <w:rsid w:val="2354322B"/>
    <w:rsid w:val="23787257"/>
    <w:rsid w:val="24030611"/>
    <w:rsid w:val="243052D5"/>
    <w:rsid w:val="249C1B3C"/>
    <w:rsid w:val="24EF7223"/>
    <w:rsid w:val="25911A7F"/>
    <w:rsid w:val="26790005"/>
    <w:rsid w:val="27551A86"/>
    <w:rsid w:val="279B745C"/>
    <w:rsid w:val="28E22D21"/>
    <w:rsid w:val="290872A8"/>
    <w:rsid w:val="299D58EC"/>
    <w:rsid w:val="29A95707"/>
    <w:rsid w:val="2A2E45FD"/>
    <w:rsid w:val="2A482698"/>
    <w:rsid w:val="2A5B648A"/>
    <w:rsid w:val="2A8E41CB"/>
    <w:rsid w:val="2A9865A5"/>
    <w:rsid w:val="2BB313F7"/>
    <w:rsid w:val="2C144E29"/>
    <w:rsid w:val="2C56570B"/>
    <w:rsid w:val="2C7548FE"/>
    <w:rsid w:val="2CAA16AF"/>
    <w:rsid w:val="2CEF2F2D"/>
    <w:rsid w:val="2DD956F3"/>
    <w:rsid w:val="2E921949"/>
    <w:rsid w:val="2EA77C30"/>
    <w:rsid w:val="2EAA4B78"/>
    <w:rsid w:val="2EE224BB"/>
    <w:rsid w:val="2EF73CF0"/>
    <w:rsid w:val="2FB25FFE"/>
    <w:rsid w:val="2FB70977"/>
    <w:rsid w:val="2FC120DE"/>
    <w:rsid w:val="30562C99"/>
    <w:rsid w:val="308E05C8"/>
    <w:rsid w:val="31085D29"/>
    <w:rsid w:val="31436524"/>
    <w:rsid w:val="3146214A"/>
    <w:rsid w:val="31B944C7"/>
    <w:rsid w:val="31C5301D"/>
    <w:rsid w:val="325425A3"/>
    <w:rsid w:val="326B3057"/>
    <w:rsid w:val="332638F5"/>
    <w:rsid w:val="3373541F"/>
    <w:rsid w:val="3417333D"/>
    <w:rsid w:val="343A591D"/>
    <w:rsid w:val="34785525"/>
    <w:rsid w:val="34C85970"/>
    <w:rsid w:val="34DF56D3"/>
    <w:rsid w:val="352806B6"/>
    <w:rsid w:val="355A4632"/>
    <w:rsid w:val="358E06D5"/>
    <w:rsid w:val="35BC3B01"/>
    <w:rsid w:val="35C30A55"/>
    <w:rsid w:val="36555DFF"/>
    <w:rsid w:val="366E4916"/>
    <w:rsid w:val="36DF562B"/>
    <w:rsid w:val="37BA64BB"/>
    <w:rsid w:val="37D053F9"/>
    <w:rsid w:val="37ED378B"/>
    <w:rsid w:val="38962E78"/>
    <w:rsid w:val="38C811EA"/>
    <w:rsid w:val="39DB1FB3"/>
    <w:rsid w:val="39DB5D0C"/>
    <w:rsid w:val="3ABF5D1D"/>
    <w:rsid w:val="3B47656B"/>
    <w:rsid w:val="3B6D66AC"/>
    <w:rsid w:val="3B925786"/>
    <w:rsid w:val="3BE51C6F"/>
    <w:rsid w:val="3BF5780A"/>
    <w:rsid w:val="3CFE087A"/>
    <w:rsid w:val="3D167A38"/>
    <w:rsid w:val="3D9904B2"/>
    <w:rsid w:val="3E582721"/>
    <w:rsid w:val="3EE762D2"/>
    <w:rsid w:val="3EF137C2"/>
    <w:rsid w:val="3EFB69A5"/>
    <w:rsid w:val="3F0B2EA0"/>
    <w:rsid w:val="3F3A738A"/>
    <w:rsid w:val="3FC97621"/>
    <w:rsid w:val="3FCF69C0"/>
    <w:rsid w:val="402841A1"/>
    <w:rsid w:val="40A40C71"/>
    <w:rsid w:val="40BC626E"/>
    <w:rsid w:val="40E3314C"/>
    <w:rsid w:val="40FB5855"/>
    <w:rsid w:val="410B2295"/>
    <w:rsid w:val="41326E0A"/>
    <w:rsid w:val="423128A8"/>
    <w:rsid w:val="42684D5B"/>
    <w:rsid w:val="4292584D"/>
    <w:rsid w:val="43B55CF6"/>
    <w:rsid w:val="4454468A"/>
    <w:rsid w:val="449B3161"/>
    <w:rsid w:val="454B7B60"/>
    <w:rsid w:val="461542AA"/>
    <w:rsid w:val="46183945"/>
    <w:rsid w:val="46C13E47"/>
    <w:rsid w:val="47180782"/>
    <w:rsid w:val="47F358EF"/>
    <w:rsid w:val="47F74A6F"/>
    <w:rsid w:val="486740A1"/>
    <w:rsid w:val="489C351F"/>
    <w:rsid w:val="492545A8"/>
    <w:rsid w:val="49396F88"/>
    <w:rsid w:val="4957634D"/>
    <w:rsid w:val="497958A5"/>
    <w:rsid w:val="497C0086"/>
    <w:rsid w:val="4A484B56"/>
    <w:rsid w:val="4A7B09E5"/>
    <w:rsid w:val="4B086F47"/>
    <w:rsid w:val="4B3F6D39"/>
    <w:rsid w:val="4B4D2F01"/>
    <w:rsid w:val="4BD5286C"/>
    <w:rsid w:val="4C4407C8"/>
    <w:rsid w:val="4CCF5418"/>
    <w:rsid w:val="4DA44BEC"/>
    <w:rsid w:val="4E38187C"/>
    <w:rsid w:val="4E3A1A07"/>
    <w:rsid w:val="4E527AAF"/>
    <w:rsid w:val="4E705F5C"/>
    <w:rsid w:val="4E7D6052"/>
    <w:rsid w:val="4EEB673F"/>
    <w:rsid w:val="4EF67834"/>
    <w:rsid w:val="4EFC2F23"/>
    <w:rsid w:val="4F5F340D"/>
    <w:rsid w:val="4FA51E8A"/>
    <w:rsid w:val="4FDB5D82"/>
    <w:rsid w:val="4FDC4193"/>
    <w:rsid w:val="4FE94B38"/>
    <w:rsid w:val="5046239D"/>
    <w:rsid w:val="51A40D74"/>
    <w:rsid w:val="527D6F32"/>
    <w:rsid w:val="52C44228"/>
    <w:rsid w:val="53281A16"/>
    <w:rsid w:val="53BE40A3"/>
    <w:rsid w:val="54640C31"/>
    <w:rsid w:val="54932DE1"/>
    <w:rsid w:val="549E0B9F"/>
    <w:rsid w:val="552878C8"/>
    <w:rsid w:val="55B7324A"/>
    <w:rsid w:val="55D04FA7"/>
    <w:rsid w:val="55D42237"/>
    <w:rsid w:val="56652B3E"/>
    <w:rsid w:val="57691F00"/>
    <w:rsid w:val="57C6386A"/>
    <w:rsid w:val="580E5C8A"/>
    <w:rsid w:val="582E0BB0"/>
    <w:rsid w:val="58942138"/>
    <w:rsid w:val="58E15F85"/>
    <w:rsid w:val="59070457"/>
    <w:rsid w:val="59246335"/>
    <w:rsid w:val="59B56775"/>
    <w:rsid w:val="59E7493A"/>
    <w:rsid w:val="5A5A35FA"/>
    <w:rsid w:val="5B3A291A"/>
    <w:rsid w:val="5B6E58FF"/>
    <w:rsid w:val="5BBB4FCE"/>
    <w:rsid w:val="5C734107"/>
    <w:rsid w:val="5CD91A0E"/>
    <w:rsid w:val="5D29172E"/>
    <w:rsid w:val="5D5C1D60"/>
    <w:rsid w:val="5D5C5F06"/>
    <w:rsid w:val="5DAF5679"/>
    <w:rsid w:val="5DCC38D5"/>
    <w:rsid w:val="5E4F3C33"/>
    <w:rsid w:val="5EBA6239"/>
    <w:rsid w:val="5EC82FEA"/>
    <w:rsid w:val="5EE410BC"/>
    <w:rsid w:val="5F0E2C19"/>
    <w:rsid w:val="5F56421A"/>
    <w:rsid w:val="5FD053D7"/>
    <w:rsid w:val="60326087"/>
    <w:rsid w:val="60DA79A2"/>
    <w:rsid w:val="61EE5035"/>
    <w:rsid w:val="61F2362B"/>
    <w:rsid w:val="627F4B59"/>
    <w:rsid w:val="628E2CCB"/>
    <w:rsid w:val="62F615EE"/>
    <w:rsid w:val="63535476"/>
    <w:rsid w:val="63896FD4"/>
    <w:rsid w:val="63B63C0B"/>
    <w:rsid w:val="644C751D"/>
    <w:rsid w:val="64EB75BC"/>
    <w:rsid w:val="653A172C"/>
    <w:rsid w:val="654178FF"/>
    <w:rsid w:val="66093DFB"/>
    <w:rsid w:val="66195F84"/>
    <w:rsid w:val="66725A49"/>
    <w:rsid w:val="66B8217B"/>
    <w:rsid w:val="66E71979"/>
    <w:rsid w:val="67012182"/>
    <w:rsid w:val="67A942EF"/>
    <w:rsid w:val="689A4D79"/>
    <w:rsid w:val="68F45FA3"/>
    <w:rsid w:val="69A8187E"/>
    <w:rsid w:val="69D87C9F"/>
    <w:rsid w:val="69FE723F"/>
    <w:rsid w:val="6A1D3904"/>
    <w:rsid w:val="6B0E38E3"/>
    <w:rsid w:val="6B5E2B16"/>
    <w:rsid w:val="6C00528B"/>
    <w:rsid w:val="6C36702A"/>
    <w:rsid w:val="6CEB1CBF"/>
    <w:rsid w:val="6DA31E20"/>
    <w:rsid w:val="6DF110EA"/>
    <w:rsid w:val="6E33513D"/>
    <w:rsid w:val="6E3A4A84"/>
    <w:rsid w:val="6F184237"/>
    <w:rsid w:val="6F3678FF"/>
    <w:rsid w:val="6F507FCE"/>
    <w:rsid w:val="6F555B47"/>
    <w:rsid w:val="6F595768"/>
    <w:rsid w:val="6F8F0E00"/>
    <w:rsid w:val="6F91426F"/>
    <w:rsid w:val="6FB071CF"/>
    <w:rsid w:val="6FF4739A"/>
    <w:rsid w:val="702E6189"/>
    <w:rsid w:val="709867F8"/>
    <w:rsid w:val="70A10A0A"/>
    <w:rsid w:val="719E357C"/>
    <w:rsid w:val="71F92C75"/>
    <w:rsid w:val="720C2BDC"/>
    <w:rsid w:val="720F273E"/>
    <w:rsid w:val="72394C9A"/>
    <w:rsid w:val="72523E7A"/>
    <w:rsid w:val="72613FFD"/>
    <w:rsid w:val="72A6700E"/>
    <w:rsid w:val="73224E88"/>
    <w:rsid w:val="736E533F"/>
    <w:rsid w:val="739D75BE"/>
    <w:rsid w:val="73B475BD"/>
    <w:rsid w:val="73DF0C5A"/>
    <w:rsid w:val="747F016C"/>
    <w:rsid w:val="74C67881"/>
    <w:rsid w:val="76420266"/>
    <w:rsid w:val="766F07AA"/>
    <w:rsid w:val="768F7938"/>
    <w:rsid w:val="77636B63"/>
    <w:rsid w:val="776C400D"/>
    <w:rsid w:val="77D17A7F"/>
    <w:rsid w:val="77DD4321"/>
    <w:rsid w:val="781B6216"/>
    <w:rsid w:val="787164D2"/>
    <w:rsid w:val="788A0925"/>
    <w:rsid w:val="788D0CAB"/>
    <w:rsid w:val="791C3623"/>
    <w:rsid w:val="792C4266"/>
    <w:rsid w:val="792C7C20"/>
    <w:rsid w:val="794552FA"/>
    <w:rsid w:val="796C21CD"/>
    <w:rsid w:val="79B63A8F"/>
    <w:rsid w:val="79C264D4"/>
    <w:rsid w:val="7A837757"/>
    <w:rsid w:val="7AFD0CDF"/>
    <w:rsid w:val="7B40684C"/>
    <w:rsid w:val="7B84639C"/>
    <w:rsid w:val="7CD010E3"/>
    <w:rsid w:val="7CE64029"/>
    <w:rsid w:val="7D780908"/>
    <w:rsid w:val="7D7B2567"/>
    <w:rsid w:val="7DB561BA"/>
    <w:rsid w:val="7DB83C18"/>
    <w:rsid w:val="7F7829B7"/>
    <w:rsid w:val="7FA110E7"/>
    <w:rsid w:val="7FC00A80"/>
    <w:rsid w:val="7FD0762A"/>
    <w:rsid w:val="7FDB602B"/>
    <w:rsid w:val="7FEF3BE1"/>
    <w:rsid w:val="7FF1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jc w:val="left"/>
    </w:pPr>
    <w:rPr>
      <w:rFonts w:ascii="宋体" w:hAnsi="宋体" w:cs="宋体"/>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1060</Words>
  <Characters>1209</Characters>
  <Lines>0</Lines>
  <Paragraphs>0</Paragraphs>
  <TotalTime>13</TotalTime>
  <ScaleCrop>false</ScaleCrop>
  <LinksUpToDate>false</LinksUpToDate>
  <CharactersWithSpaces>1222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2022-08-18T08:27:00Z</dcterms:created>
  <dc:creator>admin</dc:creator>
  <cp:lastModifiedBy>晚风.</cp:lastModifiedBy>
  <cp:lastPrinted>2024-03-08T01:26:00Z</cp:lastPrinted>
  <dcterms:modified xsi:type="dcterms:W3CDTF">2024-04-08T00:51:16Z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CB890BA10F0D45C7B4D39AD2E3DCC082_13</vt:lpwstr>
  </property>
</Properties>
</file>