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连云区住建局关于承接建设工程质量安全监督管理（二次装饰装修工程）赋权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下放事项工作实施方案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央和省市“放管服”改革相关要求，按照“强区放权”工作部署，本着“依法下放、应放全放、能接尽放、权责一致”的原则，为做好建设工程（二次装饰装修工程）质量、安全监管、竣工验收备案赋权授权事项承接工作，逐步整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推动赋权工作，确保赋权事项放得下、接得住、管得好，结合我区实际，制定如下方案：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一、赋权授权事项和承接原则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内容：建筑二次装饰装修工程质量、安全监管、竣工验收备案（不含幕墙工程）。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原则：依法下放、应放全放、能接尽放、权责一致。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长：王  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人防办主任、交通局局长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地震局局长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副组长：王学宏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  党组成员、安全生产监督管理科科长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员：周海波  建筑工程招标投标管理办公室主任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郑桂华  城乡建设服务中心主任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陈宽大  城建监察大队大队长、质安站副站长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陈四琪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建设工程质量安全监督站站长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  磊  安全生产监督管理科副科长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领导小组下设办公室，办公室设在安全生产监督管理科，由常磊同志兼任办公室主任，统筹协调各科室、各单位推进建设工程（二次装饰装修工程）质量、安全监督、竣工验收备案管理工作。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(一) 城乡服务中心工作职责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1.贯彻执行国家、省、市建筑装饰装修竣工验收备案相关法律、法规、规章和上级对相关工作的指示、规定，负责本级建筑二次装饰装修竣工验收备案工作；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2.负责本级建筑二次装饰装修竣工验收备案档案的填制、整理、装订、保管和上报工作；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3.定期向领导小组汇报工作进展、存在问题及推进措施，根据领导小组工作部署，研究具体落实工作方案，安排具体工作计划，协调推进具体工作；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4.完成上级赋予的其他职责。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（二）安全生产监督科工作职责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1.贯彻执行国家、省、市建筑装饰装修竣工验收备案相关法律、法规、规章和上级对相关工作的指示、规定，监督指导本级建筑二次装饰装修竣工验收备案工作；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2.负责监督指导装饰装修工程的质量管理；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3.依法加强装饰装修活动的安全管理；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4.负责实施装饰装修单位和个人的资质、资格以及信用管理；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5.负责本级建筑二次装饰装修质量、安全监管档案的填制、整理、装订、保管和上报工作；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6.定期向领导小组汇报工作进展、存在问题及推进措施，根据领导小组工作部署，研究具体落实工作方案，安排具体工作计划，协调推进具体工作；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7.完成上级赋予的其他职责。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（三）城建监察大队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1.负责本级建筑二次装饰装修行政执法工作，处理建筑二次装饰装修质量、安全监管、竣工验收备案工作中相关单位违法、违规案件；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2.完成上级赋予的其他职责。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四、审批端口账号和审批证件盖章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为保证赋权事项正常开展，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安全生产监督管理科</w:t>
      </w:r>
      <w:r>
        <w:rPr>
          <w:rFonts w:hint="eastAsia" w:ascii="仿宋_GB2312" w:hAnsi="仿宋_GB2312" w:eastAsia="仿宋_GB2312" w:cs="仿宋_GB2312"/>
          <w:sz w:val="32"/>
          <w:szCs w:val="32"/>
        </w:rPr>
        <w:t>和建设工程质量安全监督站共同利用市局分支账号和市局审批端口，下一步按照正常程序申请开通独立端口。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履行建筑二次装饰装修监督管理和出具《建设工程施工安全监督报告》《建设工程质量监督报告》所需印章按照规定程序盖连云区建设工程质量安全监督站印章，涉及相关责任与质安站无关。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五、在监工程处理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为确保在监工程监督管理工作的延续性，连云区范围内目前市住建局材装处在监工程仍由市住建局负责，区住建履行属地行业监管责任，积极配合。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(一)备案验收机制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严格按照《中华人民共和国建筑法》《建设工程质量管理条例》等法律法规，以及住房和城乡建设部等部门的专项规定、标准进行建筑二次装饰装修质量、安全监管、竣工验收备案。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 执法机制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因二次装饰装修工程面大量广的特殊性，执法坚持“从高从严”，对违反《中华人民共和国建筑法》、《建设工程质量管理条例》等法律行政法规以及住房和城乡建设部等部门规章的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需承担相应责任，实施相应的行政处罚。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 档案管理机制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各科室（单位）按照职责分工安排专人管理二次装饰装修工程质量、安全监管、竣工验收备案、执法档案资料台帐，主要涵盖建设工程质量安全监督检查记录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房屋建筑工程竣工验收备案申请书、工程竣工验收报告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装饰装修竣工设计图纸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隐蔽记录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建设工程施工安全监督报告、建设工程质量监督报告、房屋建筑工程竣工验收备案表等文件影像资料。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(四) 工作保障机制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办公场所、档案资料室、质量、安全监督检查设备仪器、检查执法车辆，专家费用、政府购买服务费用等，由局统筹保障。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 加强领导，组织到位。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领导小组按照国家、省、市政府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和局党组的决策部署，切实发挥统筹指导和督促落实作用。根据职责分工，分阶段细化重点工作，制定可量化、可考核、有时限的目标任务。特别是对跨行业、跨部门、跨层级的重大问题，要加大研究协调力度，及时督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 建立机制，履职尽责。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职能科室（单位）要主动承接赋权授权事项，进一步梳理完善本部门行政管理事项权责清单，明确事项名称、职权依据、责任事项、责任事项依据等，并对权责清单实施动态调整。同时要坚持以企业需求为服务导向，进一步规范管理、再造流程、优化服务，创新审批监管模式，确保赋权授权事项接得住、用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 强化对接沟通，做好审管衔接。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积极与市住建局沟通对接，确保装饰装修质量、安全监管、竣工验收备案工作接得住，做得牢。进一步加强统筹协调，各职能科室（单位）要积极参与，勇于担当责任，主动作为，化解难题，解决困难，落实建设工程竣工验收备案工作职责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(四)强化业务培训，提升承接能力。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各职能科室（单位）要主动学习职权事项的政策法规、事项办理流程、职权依据等内容，定期组织开展业务知识培训，组织人员赴先进地区学习好做法、好经验，不断提升业务能力。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ZDI4OTRmYmFiNzYyZGEwMWY3YzI1Njk3M2Y3ZDkifQ=="/>
  </w:docVars>
  <w:rsids>
    <w:rsidRoot w:val="33592FBD"/>
    <w:rsid w:val="335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Body Text First Indent 2"/>
    <w:basedOn w:val="2"/>
    <w:qFormat/>
    <w:uiPriority w:val="0"/>
    <w:pPr>
      <w:ind w:left="0" w:firstLine="420"/>
    </w:pPr>
    <w:rPr>
      <w:rFonts w:ascii="仿宋_GB2312" w:eastAsia="仿宋_GB2312" w:cs="仿宋_GB231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2023-06-07T02:55:00Z</dcterms:created>
  <dc:creator>WPS_1519027530</dc:creator>
  <cp:lastModifiedBy>WPS_1519027530</cp:lastModifiedBy>
  <dcterms:modified xsi:type="dcterms:W3CDTF">2023-06-07T02:56:09Z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DEB2CE15F1CA4A479D797096B5942253_11</vt:lpwstr>
  </property>
</Properties>
</file>